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3E8CEC6D"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E2941">
        <w:rPr>
          <w:rFonts w:asciiTheme="minorHAnsi" w:hAnsiTheme="minorHAnsi" w:cstheme="minorHAnsi"/>
          <w:bCs/>
          <w:noProof w:val="0"/>
          <w:sz w:val="24"/>
          <w:szCs w:val="24"/>
          <w:lang w:eastAsia="ja-JP"/>
        </w:rPr>
        <w:t>2</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R2-250812</w:t>
      </w:r>
      <w:r w:rsidR="00F31401">
        <w:rPr>
          <w:rFonts w:asciiTheme="minorHAnsi" w:hAnsiTheme="minorHAnsi" w:cstheme="minorHAnsi"/>
          <w:bCs/>
          <w:noProof w:val="0"/>
          <w:sz w:val="24"/>
          <w:szCs w:val="24"/>
          <w:lang w:eastAsia="ja-JP"/>
        </w:rPr>
        <w:t>5</w:t>
      </w:r>
    </w:p>
    <w:p w14:paraId="4CA31B4B" w14:textId="3FAA60FA" w:rsidR="00D5151D" w:rsidRPr="00DF72B7" w:rsidRDefault="003E2941"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Dallas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U.S.A.</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21</w:t>
      </w:r>
      <w:r w:rsidRPr="003E2941">
        <w:rPr>
          <w:rFonts w:asciiTheme="minorHAnsi" w:hAnsiTheme="minorHAnsi" w:cstheme="minorHAnsi"/>
          <w:bCs/>
          <w:noProof w:val="0"/>
          <w:sz w:val="24"/>
          <w:szCs w:val="24"/>
          <w:vertAlign w:val="superscript"/>
          <w:lang w:eastAsia="ja-JP"/>
        </w:rPr>
        <w:t>st</w:t>
      </w:r>
      <w:r>
        <w:rPr>
          <w:rFonts w:asciiTheme="minorHAnsi" w:hAnsiTheme="minorHAnsi" w:cstheme="minorHAnsi"/>
          <w:bCs/>
          <w:noProof w:val="0"/>
          <w:sz w:val="24"/>
          <w:szCs w:val="24"/>
          <w:lang w:eastAsia="ja-JP"/>
        </w:rPr>
        <w:t xml:space="preserve"> November </w:t>
      </w:r>
      <w:r w:rsidR="00490907" w:rsidRPr="00DF72B7">
        <w:rPr>
          <w:rFonts w:asciiTheme="minorHAnsi" w:hAnsiTheme="minorHAnsi" w:cstheme="minorHAnsi"/>
          <w:bCs/>
          <w:noProof w:val="0"/>
          <w:sz w:val="24"/>
          <w:szCs w:val="24"/>
          <w:lang w:eastAsia="ja-JP"/>
        </w:rPr>
        <w:t>202</w:t>
      </w:r>
      <w:bookmarkEnd w:id="0"/>
      <w:r w:rsidR="005E46C4"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46CC694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6A9D3B57"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F31401" w:rsidRPr="00F31401">
        <w:rPr>
          <w:rFonts w:asciiTheme="minorHAnsi" w:hAnsiTheme="minorHAnsi" w:cstheme="minorHAnsi"/>
          <w:b/>
          <w:color w:val="000000" w:themeColor="text1"/>
          <w:sz w:val="24"/>
        </w:rPr>
        <w:t xml:space="preserve">On service awareness in </w:t>
      </w:r>
      <w:r w:rsidR="004B61C8">
        <w:rPr>
          <w:rFonts w:asciiTheme="minorHAnsi" w:hAnsiTheme="minorHAnsi" w:cstheme="minorHAnsi"/>
          <w:b/>
          <w:color w:val="000000" w:themeColor="text1"/>
          <w:sz w:val="24"/>
        </w:rPr>
        <w:t>the access stratum</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0EDBE17B" w:rsidR="00874A97" w:rsidRDefault="00FA1A58" w:rsidP="00F868ED">
      <w:pPr>
        <w:textAlignment w:val="auto"/>
        <w:rPr>
          <w:rFonts w:ascii="Calibri" w:hAnsi="Calibri" w:cs="Calibri"/>
        </w:rPr>
      </w:pPr>
      <w:bookmarkStart w:id="3" w:name="OLE_LINK59"/>
      <w:r>
        <w:rPr>
          <w:rFonts w:ascii="Calibri" w:hAnsi="Calibri" w:cs="Calibri"/>
        </w:rPr>
        <w:t>Based on the agreement below</w:t>
      </w:r>
      <w:r w:rsidR="00BD6EAD">
        <w:rPr>
          <w:rFonts w:ascii="Calibri" w:hAnsi="Calibri" w:cs="Calibri"/>
        </w:rPr>
        <w:t xml:space="preserve"> from 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Pr>
          <w:rFonts w:ascii="Calibri" w:hAnsi="Calibri" w:cs="Calibri"/>
        </w:rPr>
        <w:t>, t</w:t>
      </w:r>
      <w:r w:rsidR="00CB03E8" w:rsidRPr="00DF72B7">
        <w:rPr>
          <w:rFonts w:ascii="Calibri" w:hAnsi="Calibri" w:cs="Calibri"/>
        </w:rPr>
        <w:t xml:space="preserve">his document discusses </w:t>
      </w:r>
      <w:r w:rsidR="009515AA">
        <w:rPr>
          <w:rFonts w:ascii="Calibri" w:hAnsi="Calibri" w:cs="Calibri"/>
        </w:rPr>
        <w:t xml:space="preserve">potential benefits associated with the </w:t>
      </w:r>
      <w:r w:rsidR="00ED06E0">
        <w:rPr>
          <w:rFonts w:ascii="Calibri" w:hAnsi="Calibri" w:cs="Calibri"/>
        </w:rPr>
        <w:t>access stratum (AS)</w:t>
      </w:r>
      <w:r w:rsidR="004502F5">
        <w:rPr>
          <w:rFonts w:ascii="Calibri" w:hAnsi="Calibri" w:cs="Calibri"/>
        </w:rPr>
        <w:t xml:space="preserve"> </w:t>
      </w:r>
      <w:r w:rsidR="009515AA">
        <w:rPr>
          <w:rFonts w:ascii="Calibri" w:hAnsi="Calibri" w:cs="Calibri"/>
        </w:rPr>
        <w:t xml:space="preserve">being service-aware, </w:t>
      </w:r>
      <w:r w:rsidR="004502F5">
        <w:rPr>
          <w:rFonts w:ascii="Calibri" w:hAnsi="Calibri" w:cs="Calibri"/>
        </w:rPr>
        <w:t xml:space="preserve">and </w:t>
      </w:r>
      <w:r w:rsidR="009515AA">
        <w:rPr>
          <w:rFonts w:ascii="Calibri" w:hAnsi="Calibri" w:cs="Calibri"/>
        </w:rPr>
        <w:t xml:space="preserve">corresponding </w:t>
      </w:r>
      <w:r w:rsidR="004502F5">
        <w:rPr>
          <w:rFonts w:ascii="Calibri" w:hAnsi="Calibri" w:cs="Calibri"/>
        </w:rPr>
        <w:t>design 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B4DD889" w14:textId="78070D46" w:rsidR="00BD6EAD" w:rsidRPr="00BD6EAD" w:rsidRDefault="004502F5" w:rsidP="00F868ED">
            <w:pPr>
              <w:textAlignment w:val="auto"/>
              <w:rPr>
                <w:rFonts w:ascii="Calibri" w:hAnsi="Calibri" w:cs="Calibri"/>
                <w:i/>
                <w:iCs/>
              </w:rPr>
            </w:pPr>
            <w:r w:rsidRPr="004502F5">
              <w:rPr>
                <w:rFonts w:ascii="Calibri" w:hAnsi="Calibri" w:cs="Calibri"/>
                <w:i/>
                <w:iCs/>
              </w:rPr>
              <w:t>Study potential benefits and standardized mechanisms for applications/service-awareness in the RAN (e.g. immersive communications, AI mobile traffic).  Understand the issues and shortcoming with the current NR QoS.   Aim to look at a general framework.</w:t>
            </w:r>
            <w:r w:rsidR="00BD6EAD" w:rsidRPr="00BD6EAD">
              <w:rPr>
                <w:rFonts w:ascii="Calibri" w:hAnsi="Calibri" w:cs="Calibri"/>
                <w:i/>
                <w:iCs/>
              </w:rPr>
              <w:t xml:space="preserve">  </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3C5D9295" w14:textId="381828D3" w:rsidR="00840E68" w:rsidRDefault="00DC0D9C" w:rsidP="00382BA8">
      <w:pPr>
        <w:keepNext/>
        <w:rPr>
          <w:rFonts w:ascii="Calibri" w:hAnsi="Calibri" w:cs="Calibri"/>
          <w:lang w:eastAsia="zh-TW"/>
        </w:rPr>
      </w:pPr>
      <w:r>
        <w:rPr>
          <w:rFonts w:ascii="Calibri" w:hAnsi="Calibri" w:cs="Calibri"/>
        </w:rPr>
        <w:t xml:space="preserve">The services that are expected to evolve over 6G’s lifetime are several and varied as evidenced by </w:t>
      </w:r>
      <w:r w:rsidR="00840E68">
        <w:rPr>
          <w:rFonts w:ascii="Calibri" w:hAnsi="Calibri" w:cs="Calibri"/>
        </w:rPr>
        <w:t xml:space="preserve">inputs to </w:t>
      </w:r>
      <w:r>
        <w:rPr>
          <w:rFonts w:ascii="Calibri" w:hAnsi="Calibri" w:cs="Calibri"/>
        </w:rPr>
        <w:t xml:space="preserve">the previous meeting </w:t>
      </w:r>
      <w:r w:rsidR="00163D27">
        <w:rPr>
          <w:rFonts w:ascii="Calibri" w:hAnsi="Calibri" w:cs="Calibri"/>
        </w:rPr>
        <w:t>on</w:t>
      </w:r>
      <w:r w:rsidR="00840E68">
        <w:rPr>
          <w:rFonts w:ascii="Calibri" w:hAnsi="Calibri" w:cs="Calibri"/>
        </w:rPr>
        <w:t xml:space="preserve"> </w:t>
      </w:r>
      <w:r>
        <w:rPr>
          <w:rFonts w:ascii="Calibri" w:hAnsi="Calibri" w:cs="Calibri"/>
        </w:rPr>
        <w:t xml:space="preserve">AI and token-based traffic, </w:t>
      </w:r>
      <w:r w:rsidRPr="00DC0D9C">
        <w:rPr>
          <w:rFonts w:ascii="Calibri" w:hAnsi="Calibri" w:cs="Calibri"/>
        </w:rPr>
        <w:t xml:space="preserve">immersive </w:t>
      </w:r>
      <w:r>
        <w:rPr>
          <w:rFonts w:ascii="Calibri" w:hAnsi="Calibri" w:cs="Calibri"/>
        </w:rPr>
        <w:t>services</w:t>
      </w:r>
      <w:r w:rsidRPr="00DC0D9C">
        <w:rPr>
          <w:rFonts w:ascii="Calibri" w:hAnsi="Calibri" w:cs="Calibri"/>
        </w:rPr>
        <w:t xml:space="preserve">, </w:t>
      </w:r>
      <w:r w:rsidR="00840E68">
        <w:rPr>
          <w:rFonts w:ascii="Calibri" w:hAnsi="Calibri" w:cs="Calibri"/>
        </w:rPr>
        <w:t>intent-based</w:t>
      </w:r>
      <w:r>
        <w:rPr>
          <w:rFonts w:ascii="Calibri" w:hAnsi="Calibri" w:cs="Calibri"/>
        </w:rPr>
        <w:t xml:space="preserve"> operations and so on.  </w:t>
      </w:r>
      <w:r w:rsidR="00F471E3">
        <w:rPr>
          <w:rFonts w:ascii="Calibri" w:hAnsi="Calibri" w:cs="Calibri"/>
        </w:rPr>
        <w:t>For example</w:t>
      </w:r>
      <w:r w:rsidR="00840E68">
        <w:rPr>
          <w:rFonts w:ascii="Calibri" w:hAnsi="Calibri" w:cs="Calibri"/>
        </w:rPr>
        <w:t>,</w:t>
      </w:r>
      <w:r w:rsidR="00F471E3">
        <w:rPr>
          <w:rFonts w:ascii="Calibri" w:hAnsi="Calibri" w:cs="Calibri"/>
        </w:rPr>
        <w:t xml:space="preserve"> OpenAI </w:t>
      </w:r>
      <w:r w:rsidR="00840E68">
        <w:rPr>
          <w:rFonts w:ascii="Calibri" w:hAnsi="Calibri" w:cs="Calibri"/>
        </w:rPr>
        <w:t xml:space="preserve">today </w:t>
      </w:r>
      <w:r w:rsidR="00F471E3">
        <w:rPr>
          <w:rFonts w:ascii="Calibri" w:hAnsi="Calibri" w:cs="Calibri"/>
        </w:rPr>
        <w:t xml:space="preserve">provides </w:t>
      </w:r>
      <w:r w:rsidR="00840E68">
        <w:rPr>
          <w:rFonts w:ascii="Calibri" w:hAnsi="Calibri" w:cs="Calibri"/>
        </w:rPr>
        <w:t xml:space="preserve">a </w:t>
      </w:r>
      <w:r w:rsidR="00D02494">
        <w:rPr>
          <w:rFonts w:ascii="Calibri" w:hAnsi="Calibri" w:cs="Calibri"/>
        </w:rPr>
        <w:t>video conversation</w:t>
      </w:r>
      <w:r w:rsidR="00F471E3">
        <w:rPr>
          <w:rFonts w:ascii="Calibri" w:hAnsi="Calibri" w:cs="Calibri"/>
        </w:rPr>
        <w:t xml:space="preserve"> </w:t>
      </w:r>
      <w:r w:rsidR="00840E68">
        <w:rPr>
          <w:rFonts w:ascii="Calibri" w:hAnsi="Calibri" w:cs="Calibri"/>
        </w:rPr>
        <w:t>service</w:t>
      </w:r>
      <w:r w:rsidR="00F471E3">
        <w:rPr>
          <w:rFonts w:ascii="Calibri" w:hAnsi="Calibri" w:cs="Calibri"/>
        </w:rPr>
        <w:t xml:space="preserve">, </w:t>
      </w:r>
      <w:r w:rsidR="00D02494">
        <w:rPr>
          <w:rFonts w:ascii="Calibri" w:hAnsi="Calibri" w:cs="Calibri" w:hint="eastAsia"/>
          <w:lang w:eastAsia="zh-TW"/>
        </w:rPr>
        <w:t>w</w:t>
      </w:r>
      <w:r w:rsidR="00D02494">
        <w:rPr>
          <w:rFonts w:ascii="Calibri" w:hAnsi="Calibri" w:cs="Calibri"/>
          <w:lang w:eastAsia="zh-TW"/>
        </w:rPr>
        <w:t xml:space="preserve">hich </w:t>
      </w:r>
      <w:r w:rsidR="00840E68">
        <w:rPr>
          <w:rFonts w:ascii="Calibri" w:hAnsi="Calibri" w:cs="Calibri"/>
          <w:lang w:eastAsia="zh-TW"/>
        </w:rPr>
        <w:t xml:space="preserve">has </w:t>
      </w:r>
      <w:r w:rsidR="00D02494">
        <w:rPr>
          <w:rFonts w:ascii="Calibri" w:hAnsi="Calibri" w:cs="Calibri"/>
          <w:lang w:eastAsia="zh-TW"/>
        </w:rPr>
        <w:t>low latency and high data rate requirements</w:t>
      </w:r>
      <w:r w:rsidR="00F471E3">
        <w:rPr>
          <w:rFonts w:ascii="Calibri" w:hAnsi="Calibri" w:cs="Calibri"/>
        </w:rPr>
        <w:t xml:space="preserve">. Google Gemini </w:t>
      </w:r>
      <w:r w:rsidR="00D02494">
        <w:rPr>
          <w:rFonts w:ascii="Calibri" w:hAnsi="Calibri" w:cs="Calibri"/>
        </w:rPr>
        <w:t>also</w:t>
      </w:r>
      <w:r w:rsidR="00F471E3">
        <w:rPr>
          <w:rFonts w:ascii="Calibri" w:hAnsi="Calibri" w:cs="Calibri"/>
        </w:rPr>
        <w:t xml:space="preserve"> provide</w:t>
      </w:r>
      <w:r w:rsidR="00D02494">
        <w:rPr>
          <w:rFonts w:ascii="Calibri" w:hAnsi="Calibri" w:cs="Calibri"/>
        </w:rPr>
        <w:t xml:space="preserve"> Gemini AI Studio </w:t>
      </w:r>
      <w:r w:rsidR="00840E68">
        <w:rPr>
          <w:rFonts w:ascii="Calibri" w:hAnsi="Calibri" w:cs="Calibri"/>
        </w:rPr>
        <w:t>service</w:t>
      </w:r>
      <w:r w:rsidR="003035CD">
        <w:rPr>
          <w:rFonts w:ascii="Calibri" w:hAnsi="Calibri" w:cs="Calibri"/>
        </w:rPr>
        <w:t>, which provide</w:t>
      </w:r>
      <w:r w:rsidR="006B2816">
        <w:rPr>
          <w:rFonts w:ascii="Calibri" w:hAnsi="Calibri" w:cs="Calibri"/>
        </w:rPr>
        <w:t>s</w:t>
      </w:r>
      <w:r w:rsidR="00F471E3">
        <w:rPr>
          <w:rFonts w:ascii="Calibri" w:hAnsi="Calibri" w:cs="Calibri"/>
        </w:rPr>
        <w:t xml:space="preserve"> similar functions</w:t>
      </w:r>
      <w:r w:rsidR="003035CD">
        <w:rPr>
          <w:rFonts w:ascii="Calibri" w:hAnsi="Calibri" w:cs="Calibri"/>
        </w:rPr>
        <w:t xml:space="preserve"> </w:t>
      </w:r>
      <w:r w:rsidR="00840E68">
        <w:rPr>
          <w:rFonts w:ascii="Calibri" w:hAnsi="Calibri" w:cs="Calibri"/>
        </w:rPr>
        <w:t xml:space="preserve">with </w:t>
      </w:r>
      <w:r w:rsidR="003035CD">
        <w:rPr>
          <w:rFonts w:ascii="Calibri" w:hAnsi="Calibri" w:cs="Calibri"/>
        </w:rPr>
        <w:t xml:space="preserve">similar </w:t>
      </w:r>
      <w:r w:rsidR="003035CD">
        <w:rPr>
          <w:rFonts w:ascii="Calibri" w:hAnsi="Calibri" w:cs="Calibri"/>
          <w:lang w:eastAsia="zh-TW"/>
        </w:rPr>
        <w:t>latency and data rate requirements</w:t>
      </w:r>
      <w:r w:rsidR="003035CD">
        <w:rPr>
          <w:rFonts w:ascii="Calibri" w:hAnsi="Calibri" w:cs="Calibri"/>
        </w:rPr>
        <w:t xml:space="preserve">. </w:t>
      </w:r>
      <w:r w:rsidR="00840E68">
        <w:rPr>
          <w:rFonts w:ascii="Calibri" w:hAnsi="Calibri" w:cs="Calibri"/>
        </w:rPr>
        <w:t>R</w:t>
      </w:r>
      <w:r w:rsidR="003035CD">
        <w:rPr>
          <w:rFonts w:ascii="Calibri" w:hAnsi="Calibri" w:cs="Calibri"/>
        </w:rPr>
        <w:t xml:space="preserve">equirements </w:t>
      </w:r>
      <w:r w:rsidR="00840E68">
        <w:rPr>
          <w:rFonts w:ascii="Calibri" w:hAnsi="Calibri" w:cs="Calibri"/>
        </w:rPr>
        <w:t xml:space="preserve">to serve immersive use cases </w:t>
      </w:r>
      <w:r w:rsidR="009744D7">
        <w:rPr>
          <w:rFonts w:ascii="Calibri" w:hAnsi="Calibri" w:cs="Calibri"/>
        </w:rPr>
        <w:t>are</w:t>
      </w:r>
      <w:r w:rsidR="003035CD">
        <w:rPr>
          <w:rFonts w:ascii="Calibri" w:hAnsi="Calibri" w:cs="Calibri"/>
        </w:rPr>
        <w:t xml:space="preserve"> </w:t>
      </w:r>
      <w:proofErr w:type="gramStart"/>
      <w:r w:rsidR="003035CD">
        <w:rPr>
          <w:rFonts w:ascii="Calibri" w:hAnsi="Calibri" w:cs="Calibri"/>
        </w:rPr>
        <w:t>similar to</w:t>
      </w:r>
      <w:proofErr w:type="gramEnd"/>
      <w:r w:rsidR="003035CD">
        <w:rPr>
          <w:rFonts w:ascii="Calibri" w:hAnsi="Calibri" w:cs="Calibri"/>
        </w:rPr>
        <w:t xml:space="preserve"> </w:t>
      </w:r>
      <w:r w:rsidR="008A39BD">
        <w:rPr>
          <w:rFonts w:ascii="Calibri" w:hAnsi="Calibri" w:cs="Calibri"/>
        </w:rPr>
        <w:t xml:space="preserve">such </w:t>
      </w:r>
      <w:r w:rsidR="00840E68">
        <w:rPr>
          <w:rFonts w:ascii="Calibri" w:hAnsi="Calibri" w:cs="Calibri"/>
        </w:rPr>
        <w:t xml:space="preserve">AI </w:t>
      </w:r>
      <w:r w:rsidR="003035CD">
        <w:rPr>
          <w:rFonts w:ascii="Calibri" w:hAnsi="Calibri" w:cs="Calibri"/>
        </w:rPr>
        <w:t xml:space="preserve">video conversation </w:t>
      </w:r>
      <w:r w:rsidR="00840E68">
        <w:rPr>
          <w:rFonts w:ascii="Calibri" w:hAnsi="Calibri" w:cs="Calibri"/>
        </w:rPr>
        <w:t>services</w:t>
      </w:r>
      <w:r w:rsidR="003035CD">
        <w:rPr>
          <w:rFonts w:ascii="Calibri" w:hAnsi="Calibri" w:cs="Calibri"/>
          <w:lang w:eastAsia="zh-TW"/>
        </w:rPr>
        <w:t xml:space="preserve">. </w:t>
      </w:r>
    </w:p>
    <w:p w14:paraId="559B8CD5" w14:textId="2CF98F19" w:rsidR="00382BA8" w:rsidRDefault="00840E68" w:rsidP="00382BA8">
      <w:pPr>
        <w:keepNext/>
      </w:pPr>
      <w:r>
        <w:rPr>
          <w:rFonts w:ascii="Calibri" w:hAnsi="Calibri" w:cs="Calibri"/>
          <w:lang w:eastAsia="zh-TW"/>
        </w:rPr>
        <w:t>However, we need to also acknowledge that t</w:t>
      </w:r>
      <w:r w:rsidRPr="00840E68">
        <w:rPr>
          <w:rFonts w:ascii="Calibri" w:hAnsi="Calibri" w:cs="Calibri"/>
          <w:lang w:eastAsia="zh-TW"/>
        </w:rPr>
        <w:t>hese services are rapidly evolving, and their traffic characteristics can change over time.</w:t>
      </w:r>
      <w:r>
        <w:rPr>
          <w:rFonts w:ascii="Calibri" w:hAnsi="Calibri" w:cs="Calibri"/>
          <w:lang w:eastAsia="zh-TW"/>
        </w:rPr>
        <w:t xml:space="preserve"> The risk we run with tailoring the 6G design to cater to specific services </w:t>
      </w:r>
      <w:r w:rsidR="000C2D59">
        <w:rPr>
          <w:rFonts w:ascii="Calibri" w:hAnsi="Calibri" w:cs="Calibri"/>
          <w:lang w:eastAsia="zh-TW"/>
        </w:rPr>
        <w:t>in their current form</w:t>
      </w:r>
      <w:r>
        <w:rPr>
          <w:rFonts w:ascii="Calibri" w:hAnsi="Calibri" w:cs="Calibri"/>
          <w:lang w:eastAsia="zh-TW"/>
        </w:rPr>
        <w:t xml:space="preserve"> is that by the time we standardise such a design, these services evolve </w:t>
      </w:r>
      <w:r w:rsidR="00E87C95">
        <w:rPr>
          <w:rFonts w:ascii="Calibri" w:hAnsi="Calibri" w:cs="Calibri"/>
          <w:lang w:eastAsia="zh-TW"/>
        </w:rPr>
        <w:t>to</w:t>
      </w:r>
      <w:r>
        <w:rPr>
          <w:rFonts w:ascii="Calibri" w:hAnsi="Calibri" w:cs="Calibri"/>
          <w:lang w:eastAsia="zh-TW"/>
        </w:rPr>
        <w:t xml:space="preserve"> a different set of requirements. </w:t>
      </w:r>
      <w:r w:rsidR="00D25D2A">
        <w:rPr>
          <w:rFonts w:ascii="Calibri" w:hAnsi="Calibri" w:cs="Calibri"/>
          <w:lang w:eastAsia="zh-TW"/>
        </w:rPr>
        <w:t>To ensure a future-proof 6G design</w:t>
      </w:r>
      <w:r>
        <w:rPr>
          <w:rFonts w:ascii="Calibri" w:hAnsi="Calibri" w:cs="Calibri"/>
          <w:lang w:eastAsia="zh-TW"/>
        </w:rPr>
        <w:t xml:space="preserve">, we need to consider </w:t>
      </w:r>
      <w:r w:rsidR="00D25D2A">
        <w:rPr>
          <w:rFonts w:ascii="Calibri" w:hAnsi="Calibri" w:cs="Calibri"/>
          <w:lang w:eastAsia="zh-TW"/>
        </w:rPr>
        <w:t xml:space="preserve">designing a </w:t>
      </w:r>
      <w:r>
        <w:rPr>
          <w:rFonts w:ascii="Calibri" w:hAnsi="Calibri" w:cs="Calibri"/>
          <w:lang w:eastAsia="zh-TW"/>
        </w:rPr>
        <w:t>service-agnostic</w:t>
      </w:r>
      <w:r w:rsidR="00D25D2A">
        <w:rPr>
          <w:rFonts w:ascii="Calibri" w:hAnsi="Calibri" w:cs="Calibri"/>
          <w:lang w:eastAsia="zh-TW"/>
        </w:rPr>
        <w:t xml:space="preserve"> framework that </w:t>
      </w:r>
      <w:r w:rsidR="009F6551">
        <w:rPr>
          <w:rFonts w:ascii="Calibri" w:hAnsi="Calibri" w:cs="Calibri"/>
          <w:lang w:eastAsia="zh-TW"/>
        </w:rPr>
        <w:t>can</w:t>
      </w:r>
      <w:r>
        <w:rPr>
          <w:rFonts w:ascii="Calibri" w:hAnsi="Calibri" w:cs="Calibri"/>
          <w:lang w:eastAsia="zh-TW"/>
        </w:rPr>
        <w:t xml:space="preserve"> </w:t>
      </w:r>
      <w:r w:rsidR="00FE5B76" w:rsidRPr="00FE5B76">
        <w:rPr>
          <w:rFonts w:ascii="Calibri" w:hAnsi="Calibri" w:cs="Calibri"/>
          <w:lang w:eastAsia="zh-TW"/>
        </w:rPr>
        <w:t xml:space="preserve">cater </w:t>
      </w:r>
      <w:r w:rsidR="00626621">
        <w:rPr>
          <w:rFonts w:ascii="Calibri" w:hAnsi="Calibri" w:cs="Calibri"/>
          <w:lang w:eastAsia="zh-TW"/>
        </w:rPr>
        <w:t xml:space="preserve">to </w:t>
      </w:r>
      <w:r w:rsidR="00FE5B76" w:rsidRPr="00FE5B76">
        <w:rPr>
          <w:rFonts w:ascii="Calibri" w:hAnsi="Calibri" w:cs="Calibri"/>
          <w:lang w:eastAsia="zh-TW"/>
        </w:rPr>
        <w:t xml:space="preserve">varied </w:t>
      </w:r>
      <w:r w:rsidR="006B2816">
        <w:rPr>
          <w:rFonts w:ascii="Calibri" w:hAnsi="Calibri" w:cs="Calibri"/>
          <w:lang w:eastAsia="zh-TW"/>
        </w:rPr>
        <w:t xml:space="preserve">applications </w:t>
      </w:r>
      <w:r w:rsidR="00FE5B76">
        <w:rPr>
          <w:rFonts w:ascii="Calibri" w:hAnsi="Calibri" w:cs="Calibri"/>
          <w:lang w:eastAsia="zh-TW"/>
        </w:rPr>
        <w:t>in the future</w:t>
      </w:r>
      <w:r w:rsidR="00D25D2A">
        <w:rPr>
          <w:rFonts w:ascii="Calibri" w:hAnsi="Calibri" w:cs="Calibri"/>
          <w:lang w:eastAsia="zh-TW"/>
        </w:rPr>
        <w:t xml:space="preserve"> as they evolve</w:t>
      </w:r>
      <w:r w:rsidR="00FE5B76">
        <w:rPr>
          <w:rFonts w:ascii="Calibri" w:hAnsi="Calibri" w:cs="Calibri"/>
          <w:lang w:eastAsia="zh-TW"/>
        </w:rPr>
        <w:t>.</w:t>
      </w:r>
      <w:r>
        <w:t xml:space="preserve"> For example, a common thread across these use-cases is that if the </w:t>
      </w:r>
      <w:r w:rsidR="007309E4">
        <w:t>AS</w:t>
      </w:r>
      <w:r>
        <w:t xml:space="preserve"> is aware of the service</w:t>
      </w:r>
      <w:r w:rsidR="005866B1">
        <w:t xml:space="preserve"> it </w:t>
      </w:r>
      <w:r w:rsidR="00C6781E">
        <w:t>carries</w:t>
      </w:r>
      <w:r>
        <w:t>, the end-user experience</w:t>
      </w:r>
      <w:r w:rsidR="00D25D2A">
        <w:t xml:space="preserve"> can be improved</w:t>
      </w:r>
      <w:r>
        <w:t xml:space="preserve">. </w:t>
      </w:r>
    </w:p>
    <w:p w14:paraId="71D47A75" w14:textId="57223F63" w:rsidR="00553B8E" w:rsidRDefault="00553B8E" w:rsidP="00553B8E">
      <w:pPr>
        <w:rPr>
          <w:b/>
          <w:bCs/>
        </w:rPr>
      </w:pPr>
      <w:r>
        <w:rPr>
          <w:b/>
          <w:bCs/>
        </w:rPr>
        <w:t>Proposal 1: The framework for service awareness in the AS is designed in a service-agnostic way to ensure that it can cater to varied services that will evolve over 6G’s lifetime.</w:t>
      </w:r>
    </w:p>
    <w:p w14:paraId="5F0485E5" w14:textId="0D98F525" w:rsidR="00D25D2A" w:rsidRDefault="00D25D2A" w:rsidP="00942F68">
      <w:pPr>
        <w:keepNext/>
        <w:rPr>
          <w:rFonts w:ascii="Calibri" w:hAnsi="Calibri" w:cs="Calibri"/>
        </w:rPr>
      </w:pPr>
      <w:r>
        <w:rPr>
          <w:rFonts w:ascii="Calibri" w:hAnsi="Calibri" w:cs="Calibri"/>
        </w:rPr>
        <w:t xml:space="preserve">Another common thread across these use-cases is the dynamic nature of </w:t>
      </w:r>
      <w:r w:rsidR="0056768E">
        <w:rPr>
          <w:rFonts w:ascii="Calibri" w:hAnsi="Calibri" w:cs="Calibri"/>
        </w:rPr>
        <w:t xml:space="preserve">the </w:t>
      </w:r>
      <w:r>
        <w:rPr>
          <w:rFonts w:ascii="Calibri" w:hAnsi="Calibri" w:cs="Calibri"/>
        </w:rPr>
        <w:t xml:space="preserve">traffic being carried. Tokens can have different reliability requirements, XR frames can have different importance, different services can have different priorities that can vary </w:t>
      </w:r>
      <w:r w:rsidR="006A46C2">
        <w:rPr>
          <w:rFonts w:ascii="Calibri" w:hAnsi="Calibri" w:cs="Calibri"/>
        </w:rPr>
        <w:lastRenderedPageBreak/>
        <w:t>over time</w:t>
      </w:r>
      <w:r>
        <w:rPr>
          <w:rFonts w:ascii="Calibri" w:hAnsi="Calibri" w:cs="Calibri"/>
        </w:rPr>
        <w:t xml:space="preserve"> based on </w:t>
      </w:r>
      <w:r w:rsidR="00FE614B">
        <w:rPr>
          <w:rFonts w:ascii="Calibri" w:hAnsi="Calibri" w:cs="Calibri"/>
        </w:rPr>
        <w:t xml:space="preserve">user </w:t>
      </w:r>
      <w:r>
        <w:rPr>
          <w:rFonts w:ascii="Calibri" w:hAnsi="Calibri" w:cs="Calibri"/>
        </w:rPr>
        <w:t xml:space="preserve">intent. It is evident that the static nature of a radio bearer is not well suited to deal with such differences. As we design the service-awareness framework, we need to take </w:t>
      </w:r>
      <w:r w:rsidR="00A2335B">
        <w:rPr>
          <w:rFonts w:ascii="Calibri" w:hAnsi="Calibri" w:cs="Calibri"/>
        </w:rPr>
        <w:t>the</w:t>
      </w:r>
      <w:r>
        <w:rPr>
          <w:rFonts w:ascii="Calibri" w:hAnsi="Calibri" w:cs="Calibri"/>
        </w:rPr>
        <w:t xml:space="preserve"> dynamic nature of </w:t>
      </w:r>
      <w:r w:rsidR="00A2335B">
        <w:rPr>
          <w:rFonts w:ascii="Calibri" w:hAnsi="Calibri" w:cs="Calibri"/>
        </w:rPr>
        <w:t xml:space="preserve">such </w:t>
      </w:r>
      <w:r>
        <w:rPr>
          <w:rFonts w:ascii="Calibri" w:hAnsi="Calibri" w:cs="Calibri"/>
        </w:rPr>
        <w:t>traffic into consideration.</w:t>
      </w:r>
    </w:p>
    <w:p w14:paraId="66AB6C03" w14:textId="58E7ABD7" w:rsidR="00480699" w:rsidRDefault="00102DF2" w:rsidP="00102DF2">
      <w:pPr>
        <w:keepNext/>
        <w:rPr>
          <w:b/>
          <w:bCs/>
        </w:rPr>
      </w:pPr>
      <w:r>
        <w:rPr>
          <w:b/>
          <w:bCs/>
        </w:rPr>
        <w:t>Proposal 2: The framework for service awareness in the AS enables dynamic differentiation of data handling at a service-level granularity.</w:t>
      </w:r>
    </w:p>
    <w:p w14:paraId="14F8BBD8" w14:textId="4AB83750" w:rsidR="00AD4597" w:rsidRPr="00102DF2" w:rsidRDefault="00AD4597" w:rsidP="00102DF2">
      <w:pPr>
        <w:keepNext/>
        <w:rPr>
          <w:rFonts w:ascii="Calibri" w:hAnsi="Calibri" w:cs="Calibri"/>
        </w:rPr>
      </w:pPr>
      <w:r>
        <w:rPr>
          <w:noProof/>
        </w:rPr>
        <w:drawing>
          <wp:anchor distT="0" distB="0" distL="114300" distR="114300" simplePos="0" relativeHeight="251657216" behindDoc="0" locked="0" layoutInCell="1" allowOverlap="1" wp14:anchorId="5C45FD9A" wp14:editId="0E433418">
            <wp:simplePos x="0" y="0"/>
            <wp:positionH relativeFrom="margin">
              <wp:posOffset>-1270</wp:posOffset>
            </wp:positionH>
            <wp:positionV relativeFrom="paragraph">
              <wp:posOffset>159385</wp:posOffset>
            </wp:positionV>
            <wp:extent cx="6645910" cy="2330450"/>
            <wp:effectExtent l="0" t="0" r="2540" b="0"/>
            <wp:wrapTopAndBottom/>
            <wp:docPr id="2143033258" name="Graphic 2143033258"/>
            <wp:cNvGraphicFramePr/>
            <a:graphic xmlns:a="http://schemas.openxmlformats.org/drawingml/2006/main">
              <a:graphicData uri="http://schemas.openxmlformats.org/drawingml/2006/picture">
                <pic:pic xmlns:pic="http://schemas.openxmlformats.org/drawingml/2006/picture">
                  <pic:nvPicPr>
                    <pic:cNvPr id="2143033258" name="Graphic 1"/>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6645910" cy="23304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0" layoutInCell="1" allowOverlap="1" wp14:anchorId="66AB7F78" wp14:editId="7342F3F6">
                <wp:simplePos x="0" y="0"/>
                <wp:positionH relativeFrom="margin">
                  <wp:align>left</wp:align>
                </wp:positionH>
                <wp:positionV relativeFrom="paragraph">
                  <wp:posOffset>2623185</wp:posOffset>
                </wp:positionV>
                <wp:extent cx="6645910" cy="307340"/>
                <wp:effectExtent l="0" t="0" r="2540" b="0"/>
                <wp:wrapTopAndBottom/>
                <wp:docPr id="1193169314" name="Text Box 1193169314"/>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28B06BC3" w14:textId="70A9F198" w:rsidR="00480699" w:rsidRDefault="00480699" w:rsidP="00480699">
                            <w:pPr>
                              <w:pStyle w:val="Caption"/>
                              <w:jc w:val="center"/>
                              <w:rPr>
                                <w:rFonts w:ascii="Calibri" w:hAnsi="Calibri" w:cs="Calibri"/>
                              </w:rPr>
                            </w:pPr>
                            <w:bookmarkStart w:id="4" w:name="_Ref210118129"/>
                            <w:r>
                              <w:t xml:space="preserve">Figure </w:t>
                            </w:r>
                            <w:fldSimple w:instr=" SEQ Figure \* ARABIC ">
                              <w:r w:rsidR="00FD6231">
                                <w:rPr>
                                  <w:noProof/>
                                </w:rPr>
                                <w:t>1</w:t>
                              </w:r>
                            </w:fldSimple>
                            <w:bookmarkEnd w:id="4"/>
                            <w:r>
                              <w:t>: Head of line blocking typically seen in the field with NR</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6AB7F78" id="_x0000_t202" coordsize="21600,21600" o:spt="202" path="m,l,21600r21600,l21600,xe">
                <v:stroke joinstyle="miter"/>
                <v:path gradientshapeok="t" o:connecttype="rect"/>
              </v:shapetype>
              <v:shape id="Text Box 1193169314" o:spid="_x0000_s1026" type="#_x0000_t202" style="position:absolute;left:0;text-align:left;margin-left:0;margin-top:206.55pt;width:523.3pt;height:24.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" stroked="f">
                <v:textbox style="mso-fit-shape-to-text:t" inset="0,0,0,0">
                  <w:txbxContent>
                    <w:p w14:paraId="28B06BC3" w14:textId="70A9F198" w:rsidR="00480699" w:rsidRDefault="00480699" w:rsidP="00480699">
                      <w:pPr>
                        <w:pStyle w:val="Caption"/>
                        <w:jc w:val="center"/>
                        <w:rPr>
                          <w:rFonts w:ascii="Calibri" w:hAnsi="Calibri" w:cs="Calibri"/>
                        </w:rPr>
                      </w:pPr>
                      <w:bookmarkStart w:id="5" w:name="_Ref210118129"/>
                      <w:r>
                        <w:t xml:space="preserve">Figure </w:t>
                      </w:r>
                      <w:fldSimple w:instr=" SEQ Figure \* ARABIC ">
                        <w:r w:rsidR="00FD6231">
                          <w:rPr>
                            <w:noProof/>
                          </w:rPr>
                          <w:t>1</w:t>
                        </w:r>
                      </w:fldSimple>
                      <w:bookmarkEnd w:id="5"/>
                      <w:r>
                        <w:t>: Head of line blocking typically seen in the field with NR</w:t>
                      </w:r>
                    </w:p>
                  </w:txbxContent>
                </v:textbox>
                <w10:wrap type="topAndBottom" anchorx="margin"/>
              </v:shape>
            </w:pict>
          </mc:Fallback>
        </mc:AlternateContent>
      </w:r>
    </w:p>
    <w:p w14:paraId="3D116B35" w14:textId="194596AE" w:rsidR="00480699" w:rsidRDefault="00102DF2" w:rsidP="00480699">
      <w:pPr>
        <w:rPr>
          <w:rFonts w:ascii="Calibri" w:hAnsi="Calibri" w:cs="Calibri"/>
        </w:rPr>
      </w:pPr>
      <w:r w:rsidRPr="00102DF2">
        <w:rPr>
          <w:rFonts w:ascii="Calibri" w:hAnsi="Calibri" w:cs="Calibri"/>
        </w:rPr>
        <w:t xml:space="preserve">An end user of mobile phone typically uses several </w:t>
      </w:r>
      <w:r>
        <w:rPr>
          <w:rFonts w:ascii="Calibri" w:hAnsi="Calibri" w:cs="Calibri"/>
        </w:rPr>
        <w:t xml:space="preserve">services running </w:t>
      </w:r>
      <w:r w:rsidRPr="00102DF2">
        <w:rPr>
          <w:rFonts w:ascii="Calibri" w:hAnsi="Calibri" w:cs="Calibri"/>
        </w:rPr>
        <w:t>in parallel. For example, it is common when playing a cooperative game to have a call ongoing with other players, while other applications run in the background. While the radio bearer concept has been part of 3GPP design for a very long time, the predominant scenario in the field is that all services for a user are transferred over the same radio bearer. This bearer is nearly always configured with in-order delivery, as several services (especially those that rely on TCP for transport) are sensitive to out of order data arrival. The consequence of transmitting data from multiple services over this common data pipe as widely seen in deployments today is head-of-line blocking, where the loss of a single packet affects all services as illustrated in</w:t>
      </w:r>
      <w:r>
        <w:rPr>
          <w:rFonts w:ascii="Calibri" w:hAnsi="Calibri" w:cs="Calibri"/>
        </w:rPr>
        <w:t xml:space="preserve"> </w:t>
      </w:r>
      <w:r>
        <w:rPr>
          <w:rFonts w:ascii="Calibri" w:hAnsi="Calibri" w:cs="Calibri"/>
        </w:rPr>
        <w:fldChar w:fldCharType="begin"/>
      </w:r>
      <w:r>
        <w:rPr>
          <w:rFonts w:ascii="Calibri" w:hAnsi="Calibri" w:cs="Calibri"/>
        </w:rPr>
        <w:instrText xml:space="preserve"> REF _Ref210118129 \h </w:instrText>
      </w:r>
      <w:r>
        <w:rPr>
          <w:rFonts w:ascii="Calibri" w:hAnsi="Calibri" w:cs="Calibri"/>
        </w:rPr>
      </w:r>
      <w:r>
        <w:rPr>
          <w:rFonts w:ascii="Calibri" w:hAnsi="Calibri" w:cs="Calibri"/>
        </w:rPr>
        <w:fldChar w:fldCharType="separate"/>
      </w:r>
      <w:r>
        <w:t xml:space="preserve">Figure </w:t>
      </w:r>
      <w:r>
        <w:rPr>
          <w:noProof/>
        </w:rPr>
        <w:t>1</w:t>
      </w:r>
      <w:r>
        <w:rPr>
          <w:rFonts w:ascii="Calibri" w:hAnsi="Calibri" w:cs="Calibri"/>
        </w:rPr>
        <w:fldChar w:fldCharType="end"/>
      </w:r>
      <w:r w:rsidRPr="00102DF2">
        <w:rPr>
          <w:rFonts w:ascii="Calibri" w:hAnsi="Calibri" w:cs="Calibri"/>
        </w:rPr>
        <w:t xml:space="preserve">. </w:t>
      </w:r>
    </w:p>
    <w:p w14:paraId="290DA7AE" w14:textId="300F83C1" w:rsidR="00480699" w:rsidRDefault="00480699" w:rsidP="00480699">
      <w:pPr>
        <w:rPr>
          <w:rFonts w:ascii="Calibri" w:hAnsi="Calibri" w:cs="Calibri"/>
          <w:b/>
          <w:bCs/>
        </w:rPr>
      </w:pPr>
      <w:r>
        <w:rPr>
          <w:rFonts w:ascii="Calibri" w:hAnsi="Calibri" w:cs="Calibri"/>
          <w:b/>
          <w:bCs/>
        </w:rPr>
        <w:t xml:space="preserve">Observation </w:t>
      </w:r>
      <w:r w:rsidR="00632A87">
        <w:rPr>
          <w:rFonts w:ascii="Calibri" w:hAnsi="Calibri" w:cs="Calibri"/>
          <w:b/>
          <w:bCs/>
        </w:rPr>
        <w:t>1</w:t>
      </w:r>
      <w:r>
        <w:rPr>
          <w:rFonts w:ascii="Calibri" w:hAnsi="Calibri" w:cs="Calibri"/>
          <w:b/>
          <w:bCs/>
        </w:rPr>
        <w:t>: The use of a single radio bearer to transport all services for a UE as is typical in the field, leads to head-of-line blocking of all services at the receiver.</w:t>
      </w:r>
    </w:p>
    <w:p w14:paraId="5F1EBAAC" w14:textId="265F9910" w:rsidR="00AD4597" w:rsidRDefault="00AD4597" w:rsidP="00480699">
      <w:pPr>
        <w:rPr>
          <w:rFonts w:ascii="Calibri" w:hAnsi="Calibri" w:cs="Calibri"/>
          <w:b/>
          <w:bCs/>
        </w:rPr>
      </w:pPr>
      <w:r>
        <w:rPr>
          <w:noProof/>
        </w:rPr>
        <mc:AlternateContent>
          <mc:Choice Requires="wps">
            <w:drawing>
              <wp:anchor distT="0" distB="0" distL="114300" distR="114300" simplePos="0" relativeHeight="251658240" behindDoc="0" locked="0" layoutInCell="1" allowOverlap="1" wp14:anchorId="041EE314" wp14:editId="3C7FC9A3">
                <wp:simplePos x="0" y="0"/>
                <wp:positionH relativeFrom="margin">
                  <wp:align>center</wp:align>
                </wp:positionH>
                <wp:positionV relativeFrom="paragraph">
                  <wp:posOffset>2700655</wp:posOffset>
                </wp:positionV>
                <wp:extent cx="6419850" cy="317500"/>
                <wp:effectExtent l="0" t="0" r="0" b="0"/>
                <wp:wrapTopAndBottom/>
                <wp:docPr id="746300127" name="Text Box 746300127"/>
                <wp:cNvGraphicFramePr/>
                <a:graphic xmlns:a="http://schemas.openxmlformats.org/drawingml/2006/main">
                  <a:graphicData uri="http://schemas.microsoft.com/office/word/2010/wordprocessingShape">
                    <wps:wsp>
                      <wps:cNvSpPr txBox="1"/>
                      <wps:spPr>
                        <a:xfrm>
                          <a:off x="0" y="0"/>
                          <a:ext cx="6419850" cy="317500"/>
                        </a:xfrm>
                        <a:prstGeom prst="rect">
                          <a:avLst/>
                        </a:prstGeom>
                        <a:solidFill>
                          <a:prstClr val="white"/>
                        </a:solidFill>
                        <a:ln>
                          <a:noFill/>
                        </a:ln>
                      </wps:spPr>
                      <wps:txbx>
                        <w:txbxContent>
                          <w:p w14:paraId="3A968050" w14:textId="7AD5BA16" w:rsidR="00480699" w:rsidRDefault="00480699" w:rsidP="00480699">
                            <w:pPr>
                              <w:pStyle w:val="Caption"/>
                              <w:jc w:val="center"/>
                              <w:rPr>
                                <w:rFonts w:ascii="Calibri" w:hAnsi="Calibri" w:cs="Calibri"/>
                              </w:rPr>
                            </w:pPr>
                            <w:bookmarkStart w:id="6" w:name="_Ref210202988"/>
                            <w:r>
                              <w:t xml:space="preserve">Figure </w:t>
                            </w:r>
                            <w:fldSimple w:instr=" SEQ Figure \* ARABIC ">
                              <w:r w:rsidR="00FD6231">
                                <w:rPr>
                                  <w:noProof/>
                                </w:rPr>
                                <w:t>2</w:t>
                              </w:r>
                            </w:fldSimple>
                            <w:bookmarkEnd w:id="6"/>
                            <w:r>
                              <w:t>: Proposed solution to limit head of line blocking with 6G</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41EE314" id="Text Box 746300127" o:spid="_x0000_s1027" type="#_x0000_t202" style="position:absolute;left:0;text-align:left;margin-left:0;margin-top:212.65pt;width:505.5pt;height: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" stroked="f">
                <v:textbox style="mso-fit-shape-to-text:t" inset="0,0,0,0">
                  <w:txbxContent>
                    <w:p w14:paraId="3A968050" w14:textId="7AD5BA16" w:rsidR="00480699" w:rsidRDefault="00480699" w:rsidP="00480699">
                      <w:pPr>
                        <w:pStyle w:val="Caption"/>
                        <w:jc w:val="center"/>
                        <w:rPr>
                          <w:rFonts w:ascii="Calibri" w:hAnsi="Calibri" w:cs="Calibri"/>
                        </w:rPr>
                      </w:pPr>
                      <w:bookmarkStart w:id="7" w:name="_Ref210202988"/>
                      <w:r>
                        <w:t xml:space="preserve">Figure </w:t>
                      </w:r>
                      <w:fldSimple w:instr=" SEQ Figure \* ARABIC ">
                        <w:r w:rsidR="00FD6231">
                          <w:rPr>
                            <w:noProof/>
                          </w:rPr>
                          <w:t>2</w:t>
                        </w:r>
                      </w:fldSimple>
                      <w:bookmarkEnd w:id="7"/>
                      <w:r>
                        <w:t>: Proposed solution to limit head of line blocking with 6G</w:t>
                      </w:r>
                    </w:p>
                  </w:txbxContent>
                </v:textbox>
                <w10:wrap type="topAndBottom" anchorx="margin"/>
              </v:shape>
            </w:pict>
          </mc:Fallback>
        </mc:AlternateContent>
      </w:r>
      <w:r>
        <w:rPr>
          <w:noProof/>
        </w:rPr>
        <w:drawing>
          <wp:anchor distT="0" distB="0" distL="114300" distR="114300" simplePos="0" relativeHeight="251659264" behindDoc="0" locked="0" layoutInCell="1" allowOverlap="1" wp14:anchorId="2FFA197C" wp14:editId="193331CF">
            <wp:simplePos x="0" y="0"/>
            <wp:positionH relativeFrom="margin">
              <wp:align>center</wp:align>
            </wp:positionH>
            <wp:positionV relativeFrom="paragraph">
              <wp:posOffset>178435</wp:posOffset>
            </wp:positionV>
            <wp:extent cx="6419850" cy="2438400"/>
            <wp:effectExtent l="0" t="0" r="0" b="0"/>
            <wp:wrapTopAndBottom/>
            <wp:docPr id="971011499" name="Graphic 971011499"/>
            <wp:cNvGraphicFramePr/>
            <a:graphic xmlns:a="http://schemas.openxmlformats.org/drawingml/2006/main">
              <a:graphicData uri="http://schemas.openxmlformats.org/drawingml/2006/picture">
                <pic:pic xmlns:pic="http://schemas.openxmlformats.org/drawingml/2006/picture">
                  <pic:nvPicPr>
                    <pic:cNvPr id="971011499" name="Graphic 1"/>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6419850" cy="2438400"/>
                    </a:xfrm>
                    <a:prstGeom prst="rect">
                      <a:avLst/>
                    </a:prstGeom>
                  </pic:spPr>
                </pic:pic>
              </a:graphicData>
            </a:graphic>
            <wp14:sizeRelH relativeFrom="page">
              <wp14:pctWidth>0</wp14:pctWidth>
            </wp14:sizeRelH>
            <wp14:sizeRelV relativeFrom="page">
              <wp14:pctHeight>0</wp14:pctHeight>
            </wp14:sizeRelV>
          </wp:anchor>
        </w:drawing>
      </w:r>
    </w:p>
    <w:p w14:paraId="4F5C0111" w14:textId="77777777" w:rsidR="00AD4597" w:rsidRDefault="00AD4597" w:rsidP="00F64552">
      <w:pPr>
        <w:rPr>
          <w:rFonts w:ascii="Calibri" w:hAnsi="Calibri" w:cs="Calibri"/>
        </w:rPr>
      </w:pPr>
    </w:p>
    <w:p w14:paraId="5660347E" w14:textId="45706964" w:rsidR="00480699" w:rsidRPr="00A96A83" w:rsidRDefault="00102DF2" w:rsidP="00F64552">
      <w:pPr>
        <w:rPr>
          <w:rFonts w:ascii="Calibri" w:hAnsi="Calibri" w:cs="Calibri"/>
        </w:rPr>
      </w:pPr>
      <w:r w:rsidRPr="00102DF2">
        <w:rPr>
          <w:rFonts w:ascii="Calibri" w:hAnsi="Calibri" w:cs="Calibri"/>
        </w:rPr>
        <w:t xml:space="preserve">The use of a single bearer for several services is likely to be the norm in the 6G timeframe for several reasons such as net neutrality considerations or that these services share the same QoS enforcement. The reason for head-of-line blocking at the NR receiver is because all services in the bearer share the same sequence number (SN) space. Instead, if </w:t>
      </w:r>
      <w:r>
        <w:rPr>
          <w:rFonts w:ascii="Calibri" w:hAnsi="Calibri" w:cs="Calibri"/>
        </w:rPr>
        <w:t xml:space="preserve">the AS is aware of the existence of different </w:t>
      </w:r>
      <w:r w:rsidRPr="00102DF2">
        <w:rPr>
          <w:rFonts w:ascii="Calibri" w:hAnsi="Calibri" w:cs="Calibri"/>
        </w:rPr>
        <w:t>services</w:t>
      </w:r>
      <w:r>
        <w:rPr>
          <w:rFonts w:ascii="Calibri" w:hAnsi="Calibri" w:cs="Calibri"/>
        </w:rPr>
        <w:t xml:space="preserve"> and </w:t>
      </w:r>
      <w:r w:rsidRPr="00102DF2">
        <w:rPr>
          <w:rFonts w:ascii="Calibri" w:hAnsi="Calibri" w:cs="Calibri"/>
        </w:rPr>
        <w:t>assign</w:t>
      </w:r>
      <w:r>
        <w:rPr>
          <w:rFonts w:ascii="Calibri" w:hAnsi="Calibri" w:cs="Calibri"/>
        </w:rPr>
        <w:t xml:space="preserve"> them</w:t>
      </w:r>
      <w:r w:rsidRPr="00102DF2">
        <w:rPr>
          <w:rFonts w:ascii="Calibri" w:hAnsi="Calibri" w:cs="Calibri"/>
        </w:rPr>
        <w:t xml:space="preserve"> </w:t>
      </w:r>
      <w:r w:rsidR="00AD4597">
        <w:rPr>
          <w:rFonts w:ascii="Calibri" w:hAnsi="Calibri" w:cs="Calibri"/>
        </w:rPr>
        <w:t xml:space="preserve">to </w:t>
      </w:r>
      <w:r w:rsidRPr="00102DF2">
        <w:rPr>
          <w:rFonts w:ascii="Calibri" w:hAnsi="Calibri" w:cs="Calibri"/>
        </w:rPr>
        <w:t>independent SN spaces, they can be handled separately at the receiver preventing one service from blocking another as illustrated in</w:t>
      </w:r>
      <w:r>
        <w:rPr>
          <w:rFonts w:ascii="Calibri" w:hAnsi="Calibri" w:cs="Calibri"/>
        </w:rPr>
        <w:t xml:space="preserve"> </w:t>
      </w:r>
      <w:r>
        <w:rPr>
          <w:rFonts w:ascii="Calibri" w:hAnsi="Calibri" w:cs="Calibri"/>
        </w:rPr>
        <w:fldChar w:fldCharType="begin"/>
      </w:r>
      <w:r>
        <w:rPr>
          <w:rFonts w:ascii="Calibri" w:hAnsi="Calibri" w:cs="Calibri"/>
        </w:rPr>
        <w:instrText xml:space="preserve"> REF _Ref210202988 \h </w:instrText>
      </w:r>
      <w:r>
        <w:rPr>
          <w:rFonts w:ascii="Calibri" w:hAnsi="Calibri" w:cs="Calibri"/>
        </w:rPr>
      </w:r>
      <w:r>
        <w:rPr>
          <w:rFonts w:ascii="Calibri" w:hAnsi="Calibri" w:cs="Calibri"/>
        </w:rPr>
        <w:fldChar w:fldCharType="separate"/>
      </w:r>
      <w:r>
        <w:t xml:space="preserve">Figure </w:t>
      </w:r>
      <w:r>
        <w:rPr>
          <w:noProof/>
        </w:rPr>
        <w:t>2</w:t>
      </w:r>
      <w:r>
        <w:rPr>
          <w:rFonts w:ascii="Calibri" w:hAnsi="Calibri" w:cs="Calibri"/>
        </w:rPr>
        <w:fldChar w:fldCharType="end"/>
      </w:r>
      <w:r w:rsidRPr="00102DF2">
        <w:rPr>
          <w:rFonts w:ascii="Calibri" w:hAnsi="Calibri" w:cs="Calibri"/>
        </w:rPr>
        <w:t xml:space="preserve">. By doing so, we limit the impact of data loss only to the affected service(s) improving the latency experienced by other services, and we reduce the amount of data needed to be buffered at the receiver. To enable such operation, </w:t>
      </w:r>
      <w:r w:rsidR="001F1464">
        <w:rPr>
          <w:rFonts w:ascii="Calibri" w:hAnsi="Calibri" w:cs="Calibri"/>
        </w:rPr>
        <w:t>the AS</w:t>
      </w:r>
      <w:r w:rsidRPr="00102DF2">
        <w:rPr>
          <w:rFonts w:ascii="Calibri" w:hAnsi="Calibri" w:cs="Calibri"/>
        </w:rPr>
        <w:t xml:space="preserve"> needs to be service-aware, which needs further discussion over the course of the 6G study.</w:t>
      </w:r>
      <w:r w:rsidR="00A96A83">
        <w:rPr>
          <w:rFonts w:ascii="Calibri" w:hAnsi="Calibri" w:cs="Calibri"/>
        </w:rPr>
        <w:t xml:space="preserve"> </w:t>
      </w:r>
      <w:r w:rsidR="00480699">
        <w:rPr>
          <w:rFonts w:ascii="Calibri" w:hAnsi="Calibri" w:cs="Calibri"/>
        </w:rPr>
        <w:t>.</w:t>
      </w:r>
    </w:p>
    <w:p w14:paraId="55B54D9E" w14:textId="428609AE" w:rsidR="00575151" w:rsidRPr="00575151" w:rsidRDefault="009515AA" w:rsidP="00F64552">
      <w:pPr>
        <w:rPr>
          <w:b/>
          <w:bCs/>
        </w:rPr>
      </w:pPr>
      <w:r w:rsidRPr="009515AA">
        <w:rPr>
          <w:b/>
          <w:bCs/>
        </w:rPr>
        <w:lastRenderedPageBreak/>
        <w:t xml:space="preserve">Proposal </w:t>
      </w:r>
      <w:r w:rsidR="002346C6">
        <w:rPr>
          <w:b/>
          <w:bCs/>
        </w:rPr>
        <w:t>3</w:t>
      </w:r>
      <w:r w:rsidRPr="009515AA">
        <w:rPr>
          <w:b/>
          <w:bCs/>
        </w:rPr>
        <w:t xml:space="preserve">: </w:t>
      </w:r>
      <w:r w:rsidR="001B1457" w:rsidRPr="001B1457">
        <w:rPr>
          <w:b/>
          <w:bCs/>
        </w:rPr>
        <w:t xml:space="preserve">The framework for service awareness in the AS </w:t>
      </w:r>
      <w:r w:rsidR="001B1457">
        <w:rPr>
          <w:b/>
          <w:bCs/>
        </w:rPr>
        <w:t xml:space="preserve">is </w:t>
      </w:r>
      <w:r w:rsidRPr="009515AA">
        <w:rPr>
          <w:b/>
          <w:bCs/>
        </w:rPr>
        <w:t xml:space="preserve">designed </w:t>
      </w:r>
      <w:r w:rsidR="001B1457">
        <w:rPr>
          <w:b/>
          <w:bCs/>
        </w:rPr>
        <w:t xml:space="preserve">to ensure </w:t>
      </w:r>
      <w:r w:rsidRPr="009515AA">
        <w:rPr>
          <w:b/>
          <w:bCs/>
        </w:rPr>
        <w:t>that one service does not cause head-of-line blocking of other services carried in the same bearer.</w:t>
      </w:r>
    </w:p>
    <w:p w14:paraId="3D5EC335" w14:textId="3A4F73E8" w:rsidR="005E2537" w:rsidRPr="00A12A75" w:rsidRDefault="00861E22" w:rsidP="00F64552">
      <w:r>
        <w:t xml:space="preserve">Another consideration for </w:t>
      </w:r>
      <w:r w:rsidR="00F41C5E">
        <w:t xml:space="preserve">service-awareness in the AS </w:t>
      </w:r>
      <w:r>
        <w:t xml:space="preserve">is the </w:t>
      </w:r>
      <w:r w:rsidR="00575151">
        <w:t>performance of UE</w:t>
      </w:r>
      <w:r>
        <w:t>s at the cell edge</w:t>
      </w:r>
      <w:r w:rsidR="00F41C5E">
        <w:t xml:space="preserve"> with respect to service continuity</w:t>
      </w:r>
      <w:r>
        <w:t>.</w:t>
      </w:r>
      <w:r w:rsidR="005B4AC1">
        <w:t xml:space="preserve"> </w:t>
      </w:r>
      <w:r w:rsidR="00584573">
        <w:t xml:space="preserve">In </w:t>
      </w:r>
      <w:r>
        <w:t>NR</w:t>
      </w:r>
      <w:r w:rsidR="00584573">
        <w:t xml:space="preserve">, </w:t>
      </w:r>
      <w:r>
        <w:t xml:space="preserve">several </w:t>
      </w:r>
      <w:r w:rsidR="00584573">
        <w:t>features (</w:t>
      </w:r>
      <w:r>
        <w:t>e</w:t>
      </w:r>
      <w:r w:rsidR="00584573">
        <w:t>.g., HPUE, repetition</w:t>
      </w:r>
      <w:r>
        <w:t>s</w:t>
      </w:r>
      <w:r w:rsidR="00584573">
        <w:t>, UE aggregation,</w:t>
      </w:r>
      <w:r w:rsidR="00584573" w:rsidRPr="00584573">
        <w:t xml:space="preserve"> coverage enhancement</w:t>
      </w:r>
      <w:r>
        <w:t>s</w:t>
      </w:r>
      <w:r w:rsidR="00584573">
        <w:t>, etc</w:t>
      </w:r>
      <w:r>
        <w:t>.</w:t>
      </w:r>
      <w:r w:rsidR="00584573">
        <w:t xml:space="preserve">) </w:t>
      </w:r>
      <w:r>
        <w:t xml:space="preserve">were introduced </w:t>
      </w:r>
      <w:r w:rsidR="00584573">
        <w:t xml:space="preserve">to enhance cell edge UE performance. Some of </w:t>
      </w:r>
      <w:r>
        <w:t xml:space="preserve">these features are designed to improve </w:t>
      </w:r>
      <w:r w:rsidR="00584573">
        <w:t>robustness (e.g., repe</w:t>
      </w:r>
      <w:r w:rsidR="008060E1">
        <w:t>tition</w:t>
      </w:r>
      <w:r w:rsidR="00584573">
        <w:t xml:space="preserve">), </w:t>
      </w:r>
      <w:r>
        <w:t xml:space="preserve">while others </w:t>
      </w:r>
      <w:r w:rsidR="008060E1">
        <w:t xml:space="preserve">increase cell edge throughput (e.g., </w:t>
      </w:r>
      <w:r w:rsidR="00FC0BCB">
        <w:t xml:space="preserve">HPUE, </w:t>
      </w:r>
      <w:r w:rsidR="008060E1" w:rsidRPr="008060E1">
        <w:t>UE aggregation</w:t>
      </w:r>
      <w:r w:rsidR="008060E1">
        <w:t>)</w:t>
      </w:r>
      <w:r w:rsidR="001044DA">
        <w:t>.</w:t>
      </w:r>
      <w:r>
        <w:t xml:space="preserve"> </w:t>
      </w:r>
      <w:r w:rsidR="005E2537">
        <w:t>As new services (e.g., XR and mobile AI) emerg</w:t>
      </w:r>
      <w:r>
        <w:t>e</w:t>
      </w:r>
      <w:r w:rsidR="005E2537">
        <w:t xml:space="preserve">, the demand for UL data rate requirement increases as well. </w:t>
      </w:r>
      <w:r w:rsidR="00720E9A">
        <w:t xml:space="preserve">With an AS that is </w:t>
      </w:r>
      <w:r>
        <w:t>service-aware, we need to additionally explore what improvements can be had to enhance the end-user experience of cell edge UEs.</w:t>
      </w:r>
    </w:p>
    <w:p w14:paraId="0528DC00" w14:textId="30B80ABF" w:rsidR="00DB0E97" w:rsidRPr="009515AA" w:rsidRDefault="00DB0E97" w:rsidP="00F64552">
      <w:pPr>
        <w:rPr>
          <w:b/>
          <w:bCs/>
        </w:rPr>
      </w:pPr>
      <w:r>
        <w:rPr>
          <w:b/>
          <w:bCs/>
        </w:rPr>
        <w:t xml:space="preserve">Proposal 4: </w:t>
      </w:r>
      <w:r w:rsidRPr="00DB0E97">
        <w:rPr>
          <w:b/>
          <w:bCs/>
        </w:rPr>
        <w:t>RAN2 to stu</w:t>
      </w:r>
      <w:r>
        <w:rPr>
          <w:b/>
          <w:bCs/>
        </w:rPr>
        <w:t>d</w:t>
      </w:r>
      <w:r w:rsidRPr="00DB0E97">
        <w:rPr>
          <w:b/>
          <w:bCs/>
        </w:rPr>
        <w:t xml:space="preserve">y </w:t>
      </w:r>
      <w:r>
        <w:rPr>
          <w:b/>
          <w:bCs/>
        </w:rPr>
        <w:t>enhancement</w:t>
      </w:r>
      <w:r w:rsidR="00861E22">
        <w:rPr>
          <w:b/>
          <w:bCs/>
        </w:rPr>
        <w:t>s</w:t>
      </w:r>
      <w:r>
        <w:rPr>
          <w:b/>
          <w:bCs/>
        </w:rPr>
        <w:t xml:space="preserve"> </w:t>
      </w:r>
      <w:r w:rsidR="004301FF">
        <w:rPr>
          <w:b/>
          <w:bCs/>
        </w:rPr>
        <w:t xml:space="preserve">to improve service </w:t>
      </w:r>
      <w:r w:rsidR="00861E22">
        <w:rPr>
          <w:b/>
          <w:bCs/>
        </w:rPr>
        <w:t>robustness and continuity for cell-edge UEs</w:t>
      </w:r>
      <w:r>
        <w:rPr>
          <w:b/>
          <w:bCs/>
        </w:rPr>
        <w:t>.</w:t>
      </w:r>
    </w:p>
    <w:p w14:paraId="6C302B1F" w14:textId="2E3F34BA" w:rsidR="00D76DB5" w:rsidRPr="00DF72B7" w:rsidRDefault="00D76DB5" w:rsidP="00AF292B">
      <w:pPr>
        <w:pStyle w:val="Heading1"/>
      </w:pPr>
      <w:r w:rsidRPr="00DF72B7">
        <w:t>Conclusion</w:t>
      </w:r>
    </w:p>
    <w:p w14:paraId="7B94B273" w14:textId="1244F10A" w:rsidR="00E7414E" w:rsidRDefault="009166A1" w:rsidP="00AD1C87">
      <w:pPr>
        <w:rPr>
          <w:rFonts w:cstheme="minorHAnsi"/>
        </w:rPr>
      </w:pPr>
      <w:r w:rsidRPr="00DF72B7">
        <w:rPr>
          <w:rFonts w:cstheme="minorHAnsi"/>
          <w:lang w:eastAsia="zh-TW"/>
        </w:rPr>
        <w:t xml:space="preserve">In this contribution we </w:t>
      </w:r>
      <w:r w:rsidR="00B46FDE">
        <w:rPr>
          <w:rFonts w:cstheme="minorHAnsi"/>
        </w:rPr>
        <w:t xml:space="preserve">propose </w:t>
      </w:r>
      <w:r w:rsidR="0084555D">
        <w:rPr>
          <w:rFonts w:cstheme="minorHAnsi"/>
        </w:rPr>
        <w:t>that service awareness in the AS is designed with the following considerations</w:t>
      </w:r>
      <w:r w:rsidR="00B46FDE">
        <w:rPr>
          <w:rFonts w:cstheme="minorHAnsi"/>
        </w:rPr>
        <w:t>.</w:t>
      </w:r>
    </w:p>
    <w:p w14:paraId="1F40325D" w14:textId="77777777" w:rsidR="00F836EE" w:rsidRDefault="00F836EE" w:rsidP="00F836EE">
      <w:pPr>
        <w:rPr>
          <w:b/>
          <w:bCs/>
        </w:rPr>
      </w:pPr>
      <w:r>
        <w:rPr>
          <w:b/>
          <w:bCs/>
        </w:rPr>
        <w:t>Proposal 1: The framework for service awareness in the AS is designed in a service-agnostic way to ensure that it can cater to varied services that will evolve over 6G’s lifetime.</w:t>
      </w:r>
    </w:p>
    <w:p w14:paraId="7CD8D14E" w14:textId="77777777" w:rsidR="00F836EE" w:rsidRDefault="00F836EE" w:rsidP="00F836EE">
      <w:pPr>
        <w:keepNext/>
        <w:rPr>
          <w:b/>
          <w:bCs/>
        </w:rPr>
      </w:pPr>
      <w:r>
        <w:rPr>
          <w:b/>
          <w:bCs/>
        </w:rPr>
        <w:t>Proposal 2: The framework for service awareness in the AS enables dynamic differentiation of data handling at a service-level granularity.</w:t>
      </w:r>
    </w:p>
    <w:p w14:paraId="24E28E08" w14:textId="77777777" w:rsidR="00F836EE" w:rsidRPr="00F836EE" w:rsidRDefault="00F836EE" w:rsidP="00F836EE">
      <w:pPr>
        <w:rPr>
          <w:rFonts w:ascii="Calibri" w:hAnsi="Calibri" w:cs="Calibri"/>
        </w:rPr>
      </w:pPr>
      <w:r w:rsidRPr="00F836EE">
        <w:rPr>
          <w:rFonts w:ascii="Calibri" w:hAnsi="Calibri" w:cs="Calibri"/>
        </w:rPr>
        <w:t>Observation 1: The use of a single radio bearer to transport all services for a UE as is typical in the field, leads to head-of-line blocking of all services at the receiver.</w:t>
      </w:r>
    </w:p>
    <w:p w14:paraId="226F8394" w14:textId="77777777" w:rsidR="00F836EE" w:rsidRDefault="00F836EE" w:rsidP="00F836EE">
      <w:pPr>
        <w:rPr>
          <w:b/>
          <w:bCs/>
        </w:rPr>
      </w:pPr>
      <w:r>
        <w:rPr>
          <w:b/>
          <w:bCs/>
        </w:rPr>
        <w:t>Proposal 3: The framework for service awareness in the AS is designed to ensure that one service does not cause head-of-line blocking of other services carried in the same bearer.</w:t>
      </w:r>
    </w:p>
    <w:p w14:paraId="2B1780DC" w14:textId="77777777" w:rsidR="00F836EE" w:rsidRDefault="00F836EE" w:rsidP="00F836EE">
      <w:pPr>
        <w:rPr>
          <w:b/>
          <w:bCs/>
        </w:rPr>
      </w:pPr>
      <w:r>
        <w:rPr>
          <w:b/>
          <w:bCs/>
        </w:rPr>
        <w:t>Proposal 4: RAN2 to study enhancements to improve service robustness and continuity for cell-edge UEs.</w:t>
      </w:r>
    </w:p>
    <w:p w14:paraId="01222C2C" w14:textId="49D6856F" w:rsidR="00700F9C" w:rsidRPr="00DF72B7" w:rsidRDefault="00700F9C" w:rsidP="00AF292B">
      <w:pPr>
        <w:pStyle w:val="Heading1"/>
      </w:pPr>
      <w:r w:rsidRPr="00DF72B7">
        <w:t>References</w:t>
      </w:r>
    </w:p>
    <w:p w14:paraId="58EB03F5" w14:textId="31C73868" w:rsidR="00AE77A5" w:rsidRPr="004F493A" w:rsidRDefault="003E2941" w:rsidP="004F493A">
      <w:pPr>
        <w:pStyle w:val="ListParagraph"/>
        <w:numPr>
          <w:ilvl w:val="0"/>
          <w:numId w:val="1"/>
        </w:numPr>
      </w:pPr>
      <w:bookmarkStart w:id="8" w:name="_Ref208932634"/>
      <w:bookmarkStart w:id="9" w:name="_Ref213070071"/>
      <w:bookmarkStart w:id="10" w:name="_Ref208921781"/>
      <w:bookmarkStart w:id="11" w:name="_Ref208908463"/>
      <w:r w:rsidRPr="003E2941">
        <w:t>R2-2508002</w:t>
      </w:r>
      <w:r>
        <w:t xml:space="preserve"> </w:t>
      </w:r>
      <w:r w:rsidR="00674108" w:rsidRPr="00DF72B7">
        <w:t xml:space="preserve">- </w:t>
      </w:r>
      <w:bookmarkEnd w:id="8"/>
      <w:r w:rsidRPr="003E2941">
        <w:t>RAN2#131bis Meeting Report</w:t>
      </w:r>
      <w:bookmarkEnd w:id="9"/>
      <w:r>
        <w:t xml:space="preserve"> (ETSI MCC)</w:t>
      </w:r>
      <w:bookmarkEnd w:id="10"/>
      <w:bookmarkEnd w:id="11"/>
    </w:p>
    <w:sectPr w:rsidR="00AE77A5"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BA5F" w14:textId="77777777" w:rsidR="00A93E7F" w:rsidRPr="001C7317" w:rsidRDefault="00A93E7F" w:rsidP="00BD754F">
      <w:pPr>
        <w:spacing w:after="0"/>
      </w:pPr>
      <w:r w:rsidRPr="001C7317">
        <w:separator/>
      </w:r>
    </w:p>
  </w:endnote>
  <w:endnote w:type="continuationSeparator" w:id="0">
    <w:p w14:paraId="5025F0C0" w14:textId="77777777" w:rsidR="00A93E7F" w:rsidRPr="001C7317" w:rsidRDefault="00A93E7F"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B6868" w14:textId="77777777" w:rsidR="00A93E7F" w:rsidRPr="001C7317" w:rsidRDefault="00A93E7F" w:rsidP="00BD754F">
      <w:pPr>
        <w:spacing w:after="0"/>
      </w:pPr>
      <w:r w:rsidRPr="001C7317">
        <w:separator/>
      </w:r>
    </w:p>
  </w:footnote>
  <w:footnote w:type="continuationSeparator" w:id="0">
    <w:p w14:paraId="26518166" w14:textId="77777777" w:rsidR="00A93E7F" w:rsidRPr="001C7317" w:rsidRDefault="00A93E7F"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3"/>
  </w:num>
  <w:num w:numId="2" w16cid:durableId="1117599630">
    <w:abstractNumId w:val="21"/>
  </w:num>
  <w:num w:numId="3" w16cid:durableId="256646147">
    <w:abstractNumId w:val="14"/>
  </w:num>
  <w:num w:numId="4" w16cid:durableId="1546526192">
    <w:abstractNumId w:val="15"/>
  </w:num>
  <w:num w:numId="5" w16cid:durableId="436557669">
    <w:abstractNumId w:val="23"/>
  </w:num>
  <w:num w:numId="6" w16cid:durableId="1729374102">
    <w:abstractNumId w:val="16"/>
  </w:num>
  <w:num w:numId="7" w16cid:durableId="1821001915">
    <w:abstractNumId w:val="20"/>
  </w:num>
  <w:num w:numId="8" w16cid:durableId="563950241">
    <w:abstractNumId w:val="10"/>
  </w:num>
  <w:num w:numId="9" w16cid:durableId="1483740201">
    <w:abstractNumId w:val="18"/>
  </w:num>
  <w:num w:numId="10" w16cid:durableId="1272323683">
    <w:abstractNumId w:val="6"/>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19"/>
  </w:num>
  <w:num w:numId="18" w16cid:durableId="496001872">
    <w:abstractNumId w:val="12"/>
  </w:num>
  <w:num w:numId="19" w16cid:durableId="913441091">
    <w:abstractNumId w:val="11"/>
  </w:num>
  <w:num w:numId="20" w16cid:durableId="1669864535">
    <w:abstractNumId w:val="7"/>
  </w:num>
  <w:num w:numId="21" w16cid:durableId="851527659">
    <w:abstractNumId w:val="9"/>
  </w:num>
  <w:num w:numId="22" w16cid:durableId="487939817">
    <w:abstractNumId w:val="9"/>
  </w:num>
  <w:num w:numId="23" w16cid:durableId="1126698424">
    <w:abstractNumId w:val="22"/>
  </w:num>
  <w:num w:numId="24" w16cid:durableId="1627815430">
    <w:abstractNumId w:val="0"/>
  </w:num>
  <w:num w:numId="25" w16cid:durableId="42827246">
    <w:abstractNumId w:val="0"/>
  </w:num>
  <w:num w:numId="26" w16cid:durableId="1194540163">
    <w:abstractNumId w:val="8"/>
  </w:num>
  <w:num w:numId="27" w16cid:durableId="436677623">
    <w:abstractNumId w:val="17"/>
  </w:num>
  <w:num w:numId="28" w16cid:durableId="1703356648">
    <w:abstractNumId w:val="24"/>
  </w:num>
  <w:num w:numId="29" w16cid:durableId="1296988966">
    <w:abstractNumId w:val="0"/>
  </w:num>
  <w:num w:numId="30" w16cid:durableId="61278647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474"/>
    <w:rsid w:val="00055577"/>
    <w:rsid w:val="00056675"/>
    <w:rsid w:val="000571ED"/>
    <w:rsid w:val="00061268"/>
    <w:rsid w:val="00061FEF"/>
    <w:rsid w:val="00063E48"/>
    <w:rsid w:val="00067EBD"/>
    <w:rsid w:val="00073BCC"/>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4393"/>
    <w:rsid w:val="00095284"/>
    <w:rsid w:val="000964CB"/>
    <w:rsid w:val="00096CB4"/>
    <w:rsid w:val="00096DF6"/>
    <w:rsid w:val="000A02FF"/>
    <w:rsid w:val="000A0D05"/>
    <w:rsid w:val="000B1982"/>
    <w:rsid w:val="000B1E03"/>
    <w:rsid w:val="000B3E45"/>
    <w:rsid w:val="000B5126"/>
    <w:rsid w:val="000B5903"/>
    <w:rsid w:val="000B7FC4"/>
    <w:rsid w:val="000C0655"/>
    <w:rsid w:val="000C0B4F"/>
    <w:rsid w:val="000C131A"/>
    <w:rsid w:val="000C2D59"/>
    <w:rsid w:val="000C2D67"/>
    <w:rsid w:val="000C470C"/>
    <w:rsid w:val="000C47B9"/>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2DF2"/>
    <w:rsid w:val="00103163"/>
    <w:rsid w:val="00103A7E"/>
    <w:rsid w:val="001044DA"/>
    <w:rsid w:val="001054B0"/>
    <w:rsid w:val="00105C35"/>
    <w:rsid w:val="00106711"/>
    <w:rsid w:val="001067EC"/>
    <w:rsid w:val="00107699"/>
    <w:rsid w:val="00107D61"/>
    <w:rsid w:val="00110C48"/>
    <w:rsid w:val="001125DB"/>
    <w:rsid w:val="001125F4"/>
    <w:rsid w:val="0011454C"/>
    <w:rsid w:val="001202FC"/>
    <w:rsid w:val="00122858"/>
    <w:rsid w:val="00122B18"/>
    <w:rsid w:val="00122E71"/>
    <w:rsid w:val="00124F32"/>
    <w:rsid w:val="00126B98"/>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3D27"/>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5383"/>
    <w:rsid w:val="001957CF"/>
    <w:rsid w:val="00196FEF"/>
    <w:rsid w:val="001975BE"/>
    <w:rsid w:val="00197C6A"/>
    <w:rsid w:val="001A2D1F"/>
    <w:rsid w:val="001A381D"/>
    <w:rsid w:val="001A4311"/>
    <w:rsid w:val="001A4998"/>
    <w:rsid w:val="001A5A43"/>
    <w:rsid w:val="001A762C"/>
    <w:rsid w:val="001B1457"/>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1464"/>
    <w:rsid w:val="001F22B0"/>
    <w:rsid w:val="001F22FC"/>
    <w:rsid w:val="00200F60"/>
    <w:rsid w:val="00201376"/>
    <w:rsid w:val="00201F3D"/>
    <w:rsid w:val="00202019"/>
    <w:rsid w:val="00202D19"/>
    <w:rsid w:val="0020576B"/>
    <w:rsid w:val="00206216"/>
    <w:rsid w:val="00206599"/>
    <w:rsid w:val="00207B78"/>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56983"/>
    <w:rsid w:val="00257652"/>
    <w:rsid w:val="00261103"/>
    <w:rsid w:val="00263F04"/>
    <w:rsid w:val="00265008"/>
    <w:rsid w:val="00267FBD"/>
    <w:rsid w:val="00274ACD"/>
    <w:rsid w:val="00277CDC"/>
    <w:rsid w:val="0028371C"/>
    <w:rsid w:val="00284610"/>
    <w:rsid w:val="00287583"/>
    <w:rsid w:val="00287735"/>
    <w:rsid w:val="00290DB4"/>
    <w:rsid w:val="00291158"/>
    <w:rsid w:val="00292000"/>
    <w:rsid w:val="00292E13"/>
    <w:rsid w:val="0029629A"/>
    <w:rsid w:val="00296C8E"/>
    <w:rsid w:val="00297FC7"/>
    <w:rsid w:val="002A03AA"/>
    <w:rsid w:val="002A0463"/>
    <w:rsid w:val="002A1487"/>
    <w:rsid w:val="002A1E03"/>
    <w:rsid w:val="002A525D"/>
    <w:rsid w:val="002A79D3"/>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2374"/>
    <w:rsid w:val="002D3A8C"/>
    <w:rsid w:val="002D6D05"/>
    <w:rsid w:val="002D7184"/>
    <w:rsid w:val="002E0930"/>
    <w:rsid w:val="002E10B0"/>
    <w:rsid w:val="002E2BEB"/>
    <w:rsid w:val="002E2F6B"/>
    <w:rsid w:val="002E40B2"/>
    <w:rsid w:val="002F2619"/>
    <w:rsid w:val="002F3120"/>
    <w:rsid w:val="002F3AC2"/>
    <w:rsid w:val="002F3ACA"/>
    <w:rsid w:val="002F4323"/>
    <w:rsid w:val="002F45DB"/>
    <w:rsid w:val="002F543B"/>
    <w:rsid w:val="002F6977"/>
    <w:rsid w:val="002F7720"/>
    <w:rsid w:val="00300785"/>
    <w:rsid w:val="0030240A"/>
    <w:rsid w:val="003035CD"/>
    <w:rsid w:val="0030361D"/>
    <w:rsid w:val="00303A9A"/>
    <w:rsid w:val="0030526F"/>
    <w:rsid w:val="00305559"/>
    <w:rsid w:val="0031110D"/>
    <w:rsid w:val="00313713"/>
    <w:rsid w:val="00313BDE"/>
    <w:rsid w:val="00313C6C"/>
    <w:rsid w:val="00313F22"/>
    <w:rsid w:val="0031452E"/>
    <w:rsid w:val="0031592E"/>
    <w:rsid w:val="0031695B"/>
    <w:rsid w:val="00316CBD"/>
    <w:rsid w:val="0032159D"/>
    <w:rsid w:val="0032329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61254"/>
    <w:rsid w:val="00362BCD"/>
    <w:rsid w:val="00363363"/>
    <w:rsid w:val="00370B2B"/>
    <w:rsid w:val="00372991"/>
    <w:rsid w:val="00373C0E"/>
    <w:rsid w:val="00373EAC"/>
    <w:rsid w:val="00381515"/>
    <w:rsid w:val="00382198"/>
    <w:rsid w:val="00382BA8"/>
    <w:rsid w:val="00383E03"/>
    <w:rsid w:val="0038495E"/>
    <w:rsid w:val="003860A4"/>
    <w:rsid w:val="00395754"/>
    <w:rsid w:val="003A27CB"/>
    <w:rsid w:val="003A4144"/>
    <w:rsid w:val="003A57BF"/>
    <w:rsid w:val="003A5814"/>
    <w:rsid w:val="003A630C"/>
    <w:rsid w:val="003B17B6"/>
    <w:rsid w:val="003B1ACF"/>
    <w:rsid w:val="003B7027"/>
    <w:rsid w:val="003C3174"/>
    <w:rsid w:val="003C365D"/>
    <w:rsid w:val="003C6130"/>
    <w:rsid w:val="003C64A7"/>
    <w:rsid w:val="003C7032"/>
    <w:rsid w:val="003D1DB1"/>
    <w:rsid w:val="003D402A"/>
    <w:rsid w:val="003D4214"/>
    <w:rsid w:val="003D42C1"/>
    <w:rsid w:val="003D6113"/>
    <w:rsid w:val="003D68E2"/>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1F69"/>
    <w:rsid w:val="00425F5B"/>
    <w:rsid w:val="004263BF"/>
    <w:rsid w:val="00426430"/>
    <w:rsid w:val="004301FF"/>
    <w:rsid w:val="00431D67"/>
    <w:rsid w:val="004323FE"/>
    <w:rsid w:val="004328F9"/>
    <w:rsid w:val="00433609"/>
    <w:rsid w:val="00435193"/>
    <w:rsid w:val="0043592D"/>
    <w:rsid w:val="00435FCE"/>
    <w:rsid w:val="00436DBD"/>
    <w:rsid w:val="00436FF1"/>
    <w:rsid w:val="00441374"/>
    <w:rsid w:val="00442F57"/>
    <w:rsid w:val="00442F9D"/>
    <w:rsid w:val="00443693"/>
    <w:rsid w:val="0044375E"/>
    <w:rsid w:val="00443F0A"/>
    <w:rsid w:val="004455D9"/>
    <w:rsid w:val="00445684"/>
    <w:rsid w:val="00445CB0"/>
    <w:rsid w:val="004502F5"/>
    <w:rsid w:val="00450560"/>
    <w:rsid w:val="0045068E"/>
    <w:rsid w:val="00453C9A"/>
    <w:rsid w:val="0045498B"/>
    <w:rsid w:val="00455AAA"/>
    <w:rsid w:val="00461D52"/>
    <w:rsid w:val="00462A1F"/>
    <w:rsid w:val="00463A80"/>
    <w:rsid w:val="00464062"/>
    <w:rsid w:val="00464FC1"/>
    <w:rsid w:val="0046569E"/>
    <w:rsid w:val="00466CBF"/>
    <w:rsid w:val="00466D73"/>
    <w:rsid w:val="00467A1E"/>
    <w:rsid w:val="004717C3"/>
    <w:rsid w:val="00472CCA"/>
    <w:rsid w:val="00473EF4"/>
    <w:rsid w:val="0047408E"/>
    <w:rsid w:val="00474DCE"/>
    <w:rsid w:val="00477958"/>
    <w:rsid w:val="00480699"/>
    <w:rsid w:val="00480CF2"/>
    <w:rsid w:val="00483AEB"/>
    <w:rsid w:val="004854D7"/>
    <w:rsid w:val="00487430"/>
    <w:rsid w:val="00490907"/>
    <w:rsid w:val="004933DE"/>
    <w:rsid w:val="00493950"/>
    <w:rsid w:val="00493D56"/>
    <w:rsid w:val="0049522C"/>
    <w:rsid w:val="00495C99"/>
    <w:rsid w:val="00495E65"/>
    <w:rsid w:val="004A009E"/>
    <w:rsid w:val="004A1101"/>
    <w:rsid w:val="004A2AF7"/>
    <w:rsid w:val="004A2B00"/>
    <w:rsid w:val="004A4FB1"/>
    <w:rsid w:val="004A5633"/>
    <w:rsid w:val="004A5E54"/>
    <w:rsid w:val="004A7551"/>
    <w:rsid w:val="004B1A1C"/>
    <w:rsid w:val="004B1C99"/>
    <w:rsid w:val="004B2063"/>
    <w:rsid w:val="004B2F85"/>
    <w:rsid w:val="004B4396"/>
    <w:rsid w:val="004B5A62"/>
    <w:rsid w:val="004B5EE8"/>
    <w:rsid w:val="004B61C8"/>
    <w:rsid w:val="004B663A"/>
    <w:rsid w:val="004C0B0C"/>
    <w:rsid w:val="004C1256"/>
    <w:rsid w:val="004C2671"/>
    <w:rsid w:val="004C3798"/>
    <w:rsid w:val="004C4CDF"/>
    <w:rsid w:val="004C5445"/>
    <w:rsid w:val="004C6927"/>
    <w:rsid w:val="004C76B3"/>
    <w:rsid w:val="004C7B1D"/>
    <w:rsid w:val="004D28F0"/>
    <w:rsid w:val="004D4061"/>
    <w:rsid w:val="004D43BA"/>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3A"/>
    <w:rsid w:val="004F496A"/>
    <w:rsid w:val="004F4EC9"/>
    <w:rsid w:val="00500E3A"/>
    <w:rsid w:val="00501305"/>
    <w:rsid w:val="00501E02"/>
    <w:rsid w:val="00502A97"/>
    <w:rsid w:val="00503321"/>
    <w:rsid w:val="0050391F"/>
    <w:rsid w:val="00504A12"/>
    <w:rsid w:val="0050606F"/>
    <w:rsid w:val="005062FF"/>
    <w:rsid w:val="00507E22"/>
    <w:rsid w:val="0051313B"/>
    <w:rsid w:val="00517602"/>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833"/>
    <w:rsid w:val="00543CCA"/>
    <w:rsid w:val="0054450B"/>
    <w:rsid w:val="005510BD"/>
    <w:rsid w:val="00551885"/>
    <w:rsid w:val="00553B8E"/>
    <w:rsid w:val="00553D0A"/>
    <w:rsid w:val="00553E3B"/>
    <w:rsid w:val="00554F0D"/>
    <w:rsid w:val="0055512F"/>
    <w:rsid w:val="00555187"/>
    <w:rsid w:val="00557626"/>
    <w:rsid w:val="005579AF"/>
    <w:rsid w:val="00557F07"/>
    <w:rsid w:val="00562B47"/>
    <w:rsid w:val="0056433B"/>
    <w:rsid w:val="00566314"/>
    <w:rsid w:val="0056768E"/>
    <w:rsid w:val="00571342"/>
    <w:rsid w:val="00572584"/>
    <w:rsid w:val="0057290A"/>
    <w:rsid w:val="00573FA4"/>
    <w:rsid w:val="005741CA"/>
    <w:rsid w:val="00575151"/>
    <w:rsid w:val="005753FC"/>
    <w:rsid w:val="00576E7E"/>
    <w:rsid w:val="00576F5E"/>
    <w:rsid w:val="00580A44"/>
    <w:rsid w:val="00580CBE"/>
    <w:rsid w:val="0058121B"/>
    <w:rsid w:val="005813C4"/>
    <w:rsid w:val="00584573"/>
    <w:rsid w:val="005865AA"/>
    <w:rsid w:val="005866B1"/>
    <w:rsid w:val="00587ADE"/>
    <w:rsid w:val="0059047A"/>
    <w:rsid w:val="005941F7"/>
    <w:rsid w:val="00596F13"/>
    <w:rsid w:val="00597DAB"/>
    <w:rsid w:val="005A0015"/>
    <w:rsid w:val="005A07DA"/>
    <w:rsid w:val="005A1BCF"/>
    <w:rsid w:val="005A28FC"/>
    <w:rsid w:val="005A2EE9"/>
    <w:rsid w:val="005A6A85"/>
    <w:rsid w:val="005B16A8"/>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4FBC"/>
    <w:rsid w:val="005D61FB"/>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621"/>
    <w:rsid w:val="006267DE"/>
    <w:rsid w:val="00627588"/>
    <w:rsid w:val="006308EA"/>
    <w:rsid w:val="00632A87"/>
    <w:rsid w:val="006335E3"/>
    <w:rsid w:val="0063386D"/>
    <w:rsid w:val="00633DE1"/>
    <w:rsid w:val="00634671"/>
    <w:rsid w:val="00635AF3"/>
    <w:rsid w:val="0063708C"/>
    <w:rsid w:val="00637341"/>
    <w:rsid w:val="00637855"/>
    <w:rsid w:val="006408DA"/>
    <w:rsid w:val="00640F44"/>
    <w:rsid w:val="00642D8D"/>
    <w:rsid w:val="006432E8"/>
    <w:rsid w:val="00647EF8"/>
    <w:rsid w:val="00650D1E"/>
    <w:rsid w:val="00651573"/>
    <w:rsid w:val="00651590"/>
    <w:rsid w:val="00651804"/>
    <w:rsid w:val="00652FC9"/>
    <w:rsid w:val="00653B5D"/>
    <w:rsid w:val="00654884"/>
    <w:rsid w:val="006559E4"/>
    <w:rsid w:val="006564DC"/>
    <w:rsid w:val="006614B9"/>
    <w:rsid w:val="006679EB"/>
    <w:rsid w:val="00674108"/>
    <w:rsid w:val="006778EC"/>
    <w:rsid w:val="00677BCF"/>
    <w:rsid w:val="0068080A"/>
    <w:rsid w:val="006820F9"/>
    <w:rsid w:val="00684D08"/>
    <w:rsid w:val="0068628F"/>
    <w:rsid w:val="00687742"/>
    <w:rsid w:val="00690649"/>
    <w:rsid w:val="00690755"/>
    <w:rsid w:val="00690CE9"/>
    <w:rsid w:val="00691CAC"/>
    <w:rsid w:val="006929EA"/>
    <w:rsid w:val="00693BA9"/>
    <w:rsid w:val="00694071"/>
    <w:rsid w:val="006947DE"/>
    <w:rsid w:val="00694D5B"/>
    <w:rsid w:val="00695C73"/>
    <w:rsid w:val="00696925"/>
    <w:rsid w:val="00697177"/>
    <w:rsid w:val="006A0F98"/>
    <w:rsid w:val="006A1E73"/>
    <w:rsid w:val="006A2E2D"/>
    <w:rsid w:val="006A46C2"/>
    <w:rsid w:val="006A73F8"/>
    <w:rsid w:val="006A7469"/>
    <w:rsid w:val="006B2660"/>
    <w:rsid w:val="006B2816"/>
    <w:rsid w:val="006B3718"/>
    <w:rsid w:val="006B553A"/>
    <w:rsid w:val="006B779E"/>
    <w:rsid w:val="006C01BF"/>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40E9"/>
    <w:rsid w:val="006F447A"/>
    <w:rsid w:val="006F6CAE"/>
    <w:rsid w:val="006F7CB7"/>
    <w:rsid w:val="00700F9C"/>
    <w:rsid w:val="0070524B"/>
    <w:rsid w:val="00705CB9"/>
    <w:rsid w:val="007073E0"/>
    <w:rsid w:val="00707E70"/>
    <w:rsid w:val="00710374"/>
    <w:rsid w:val="007108B5"/>
    <w:rsid w:val="00710B31"/>
    <w:rsid w:val="00711AAF"/>
    <w:rsid w:val="00712104"/>
    <w:rsid w:val="00714CF2"/>
    <w:rsid w:val="007165C7"/>
    <w:rsid w:val="00720513"/>
    <w:rsid w:val="00720E9A"/>
    <w:rsid w:val="007215CF"/>
    <w:rsid w:val="00723122"/>
    <w:rsid w:val="00725175"/>
    <w:rsid w:val="00725CA0"/>
    <w:rsid w:val="0072610C"/>
    <w:rsid w:val="007272A6"/>
    <w:rsid w:val="00727663"/>
    <w:rsid w:val="007309E4"/>
    <w:rsid w:val="00731848"/>
    <w:rsid w:val="00731EF1"/>
    <w:rsid w:val="007338A6"/>
    <w:rsid w:val="00734CF3"/>
    <w:rsid w:val="007405E1"/>
    <w:rsid w:val="00741090"/>
    <w:rsid w:val="0074192E"/>
    <w:rsid w:val="00741E1A"/>
    <w:rsid w:val="00743A83"/>
    <w:rsid w:val="00743C33"/>
    <w:rsid w:val="00743D3C"/>
    <w:rsid w:val="00744BF1"/>
    <w:rsid w:val="007460C5"/>
    <w:rsid w:val="00752D0F"/>
    <w:rsid w:val="00753587"/>
    <w:rsid w:val="0075378D"/>
    <w:rsid w:val="00756132"/>
    <w:rsid w:val="0076006F"/>
    <w:rsid w:val="007606FE"/>
    <w:rsid w:val="00761820"/>
    <w:rsid w:val="007618D4"/>
    <w:rsid w:val="0076530B"/>
    <w:rsid w:val="00765F4B"/>
    <w:rsid w:val="007674AD"/>
    <w:rsid w:val="00767657"/>
    <w:rsid w:val="0077005B"/>
    <w:rsid w:val="007707D0"/>
    <w:rsid w:val="00770CB5"/>
    <w:rsid w:val="00772FFC"/>
    <w:rsid w:val="0077324A"/>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3597"/>
    <w:rsid w:val="00794CE9"/>
    <w:rsid w:val="00795359"/>
    <w:rsid w:val="007953FD"/>
    <w:rsid w:val="00795FAE"/>
    <w:rsid w:val="0079639F"/>
    <w:rsid w:val="00797C85"/>
    <w:rsid w:val="00797F3F"/>
    <w:rsid w:val="007A21A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D15"/>
    <w:rsid w:val="007E33D7"/>
    <w:rsid w:val="007E3849"/>
    <w:rsid w:val="007E3F1F"/>
    <w:rsid w:val="007E6611"/>
    <w:rsid w:val="007E6B32"/>
    <w:rsid w:val="007E6EE0"/>
    <w:rsid w:val="007E6F46"/>
    <w:rsid w:val="007F028D"/>
    <w:rsid w:val="007F1E80"/>
    <w:rsid w:val="007F2F9C"/>
    <w:rsid w:val="007F308B"/>
    <w:rsid w:val="007F3DC7"/>
    <w:rsid w:val="007F4BDC"/>
    <w:rsid w:val="007F4FEF"/>
    <w:rsid w:val="007F5A64"/>
    <w:rsid w:val="007F7467"/>
    <w:rsid w:val="007F74BA"/>
    <w:rsid w:val="008048D1"/>
    <w:rsid w:val="00804F1F"/>
    <w:rsid w:val="008060E1"/>
    <w:rsid w:val="00806288"/>
    <w:rsid w:val="00806C81"/>
    <w:rsid w:val="00806E5F"/>
    <w:rsid w:val="00806EB8"/>
    <w:rsid w:val="00810B7F"/>
    <w:rsid w:val="00810F02"/>
    <w:rsid w:val="008110B2"/>
    <w:rsid w:val="00814FC8"/>
    <w:rsid w:val="00815A39"/>
    <w:rsid w:val="008177EE"/>
    <w:rsid w:val="00822A42"/>
    <w:rsid w:val="00824272"/>
    <w:rsid w:val="0082569B"/>
    <w:rsid w:val="00827FB9"/>
    <w:rsid w:val="00827FE4"/>
    <w:rsid w:val="008306FD"/>
    <w:rsid w:val="008308A4"/>
    <w:rsid w:val="00831A07"/>
    <w:rsid w:val="00831CEA"/>
    <w:rsid w:val="00833D3C"/>
    <w:rsid w:val="00836D25"/>
    <w:rsid w:val="0083702A"/>
    <w:rsid w:val="00837869"/>
    <w:rsid w:val="00840E68"/>
    <w:rsid w:val="00843848"/>
    <w:rsid w:val="0084512A"/>
    <w:rsid w:val="0084555D"/>
    <w:rsid w:val="00846665"/>
    <w:rsid w:val="00846A0F"/>
    <w:rsid w:val="00847113"/>
    <w:rsid w:val="00851998"/>
    <w:rsid w:val="008533DA"/>
    <w:rsid w:val="008534A7"/>
    <w:rsid w:val="008546C8"/>
    <w:rsid w:val="00857D58"/>
    <w:rsid w:val="00861001"/>
    <w:rsid w:val="00861E22"/>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5746"/>
    <w:rsid w:val="00895EE9"/>
    <w:rsid w:val="008978BA"/>
    <w:rsid w:val="00897D70"/>
    <w:rsid w:val="00897EFA"/>
    <w:rsid w:val="008A028E"/>
    <w:rsid w:val="008A39BD"/>
    <w:rsid w:val="008A43BF"/>
    <w:rsid w:val="008A5AA7"/>
    <w:rsid w:val="008A60D2"/>
    <w:rsid w:val="008A7343"/>
    <w:rsid w:val="008B10E5"/>
    <w:rsid w:val="008B1C93"/>
    <w:rsid w:val="008B4FCB"/>
    <w:rsid w:val="008B60CD"/>
    <w:rsid w:val="008B64FC"/>
    <w:rsid w:val="008B6554"/>
    <w:rsid w:val="008B6897"/>
    <w:rsid w:val="008C08EF"/>
    <w:rsid w:val="008C133C"/>
    <w:rsid w:val="008C3056"/>
    <w:rsid w:val="008C3295"/>
    <w:rsid w:val="008C466E"/>
    <w:rsid w:val="008C60E8"/>
    <w:rsid w:val="008C7CB7"/>
    <w:rsid w:val="008D0540"/>
    <w:rsid w:val="008D21F2"/>
    <w:rsid w:val="008E1472"/>
    <w:rsid w:val="008E1B4E"/>
    <w:rsid w:val="008E3A50"/>
    <w:rsid w:val="008E4B8D"/>
    <w:rsid w:val="008E6158"/>
    <w:rsid w:val="008E7AB0"/>
    <w:rsid w:val="008E7B6C"/>
    <w:rsid w:val="008F0B63"/>
    <w:rsid w:val="008F1D9A"/>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6F4E"/>
    <w:rsid w:val="0090759B"/>
    <w:rsid w:val="00907883"/>
    <w:rsid w:val="009120D5"/>
    <w:rsid w:val="00913BA0"/>
    <w:rsid w:val="00913D39"/>
    <w:rsid w:val="00914719"/>
    <w:rsid w:val="009148B7"/>
    <w:rsid w:val="009166A1"/>
    <w:rsid w:val="00917DE6"/>
    <w:rsid w:val="00921B5C"/>
    <w:rsid w:val="00922983"/>
    <w:rsid w:val="00923434"/>
    <w:rsid w:val="0092455C"/>
    <w:rsid w:val="0092511B"/>
    <w:rsid w:val="009254DF"/>
    <w:rsid w:val="009257BC"/>
    <w:rsid w:val="009330C4"/>
    <w:rsid w:val="0093546C"/>
    <w:rsid w:val="00937C10"/>
    <w:rsid w:val="00942019"/>
    <w:rsid w:val="00942F68"/>
    <w:rsid w:val="00944B2C"/>
    <w:rsid w:val="00945330"/>
    <w:rsid w:val="00946472"/>
    <w:rsid w:val="00947315"/>
    <w:rsid w:val="009515AA"/>
    <w:rsid w:val="00952A99"/>
    <w:rsid w:val="00953145"/>
    <w:rsid w:val="009552E7"/>
    <w:rsid w:val="009565CF"/>
    <w:rsid w:val="00956BA5"/>
    <w:rsid w:val="0096139F"/>
    <w:rsid w:val="00961D63"/>
    <w:rsid w:val="00962953"/>
    <w:rsid w:val="00963BBE"/>
    <w:rsid w:val="009640D4"/>
    <w:rsid w:val="009643F3"/>
    <w:rsid w:val="009669C3"/>
    <w:rsid w:val="009700CD"/>
    <w:rsid w:val="0097019D"/>
    <w:rsid w:val="009731B5"/>
    <w:rsid w:val="009744D7"/>
    <w:rsid w:val="0097526D"/>
    <w:rsid w:val="00975AB6"/>
    <w:rsid w:val="00975EF9"/>
    <w:rsid w:val="00981953"/>
    <w:rsid w:val="00984E17"/>
    <w:rsid w:val="009866D9"/>
    <w:rsid w:val="009872D2"/>
    <w:rsid w:val="009878A2"/>
    <w:rsid w:val="009913EE"/>
    <w:rsid w:val="00992821"/>
    <w:rsid w:val="009959DD"/>
    <w:rsid w:val="00996259"/>
    <w:rsid w:val="00997D69"/>
    <w:rsid w:val="009A21D9"/>
    <w:rsid w:val="009A31F1"/>
    <w:rsid w:val="009B0471"/>
    <w:rsid w:val="009B4D8B"/>
    <w:rsid w:val="009B556A"/>
    <w:rsid w:val="009B5CC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75D"/>
    <w:rsid w:val="009F62C8"/>
    <w:rsid w:val="009F6551"/>
    <w:rsid w:val="00A03244"/>
    <w:rsid w:val="00A03DA6"/>
    <w:rsid w:val="00A0440E"/>
    <w:rsid w:val="00A04518"/>
    <w:rsid w:val="00A12A75"/>
    <w:rsid w:val="00A12F3E"/>
    <w:rsid w:val="00A145F9"/>
    <w:rsid w:val="00A15049"/>
    <w:rsid w:val="00A17BC7"/>
    <w:rsid w:val="00A22361"/>
    <w:rsid w:val="00A2240B"/>
    <w:rsid w:val="00A2283B"/>
    <w:rsid w:val="00A2335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3E7F"/>
    <w:rsid w:val="00A94DEE"/>
    <w:rsid w:val="00A96547"/>
    <w:rsid w:val="00A96A83"/>
    <w:rsid w:val="00A976F5"/>
    <w:rsid w:val="00A977ED"/>
    <w:rsid w:val="00AA031D"/>
    <w:rsid w:val="00AA1CF5"/>
    <w:rsid w:val="00AA1CFE"/>
    <w:rsid w:val="00AA29F3"/>
    <w:rsid w:val="00AA4D73"/>
    <w:rsid w:val="00AA5A9B"/>
    <w:rsid w:val="00AA72DF"/>
    <w:rsid w:val="00AB160C"/>
    <w:rsid w:val="00AB1A92"/>
    <w:rsid w:val="00AB22BA"/>
    <w:rsid w:val="00AB268E"/>
    <w:rsid w:val="00AB3976"/>
    <w:rsid w:val="00AB4311"/>
    <w:rsid w:val="00AB52E9"/>
    <w:rsid w:val="00AB61B8"/>
    <w:rsid w:val="00AB630D"/>
    <w:rsid w:val="00AB7533"/>
    <w:rsid w:val="00AB7DB4"/>
    <w:rsid w:val="00AC1004"/>
    <w:rsid w:val="00AC1AFD"/>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54F"/>
    <w:rsid w:val="00B00A62"/>
    <w:rsid w:val="00B0170E"/>
    <w:rsid w:val="00B03B3C"/>
    <w:rsid w:val="00B03D80"/>
    <w:rsid w:val="00B064B4"/>
    <w:rsid w:val="00B0660E"/>
    <w:rsid w:val="00B07253"/>
    <w:rsid w:val="00B14EFF"/>
    <w:rsid w:val="00B15409"/>
    <w:rsid w:val="00B156AB"/>
    <w:rsid w:val="00B171FC"/>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1A53"/>
    <w:rsid w:val="00B72295"/>
    <w:rsid w:val="00B735BD"/>
    <w:rsid w:val="00B739AD"/>
    <w:rsid w:val="00B808AF"/>
    <w:rsid w:val="00B80BD3"/>
    <w:rsid w:val="00B82BCC"/>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3E2"/>
    <w:rsid w:val="00BF3F13"/>
    <w:rsid w:val="00C01BA9"/>
    <w:rsid w:val="00C01DC2"/>
    <w:rsid w:val="00C03E46"/>
    <w:rsid w:val="00C05723"/>
    <w:rsid w:val="00C0588C"/>
    <w:rsid w:val="00C07CDC"/>
    <w:rsid w:val="00C10449"/>
    <w:rsid w:val="00C1177C"/>
    <w:rsid w:val="00C117F2"/>
    <w:rsid w:val="00C1340E"/>
    <w:rsid w:val="00C15307"/>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35BE"/>
    <w:rsid w:val="00C44971"/>
    <w:rsid w:val="00C45966"/>
    <w:rsid w:val="00C464FD"/>
    <w:rsid w:val="00C4728B"/>
    <w:rsid w:val="00C5252F"/>
    <w:rsid w:val="00C526CE"/>
    <w:rsid w:val="00C532AB"/>
    <w:rsid w:val="00C57883"/>
    <w:rsid w:val="00C61F7B"/>
    <w:rsid w:val="00C62FA1"/>
    <w:rsid w:val="00C6311E"/>
    <w:rsid w:val="00C64976"/>
    <w:rsid w:val="00C66FCB"/>
    <w:rsid w:val="00C6781E"/>
    <w:rsid w:val="00C72205"/>
    <w:rsid w:val="00C745CD"/>
    <w:rsid w:val="00C755E8"/>
    <w:rsid w:val="00C75C5E"/>
    <w:rsid w:val="00C768A7"/>
    <w:rsid w:val="00C76B0D"/>
    <w:rsid w:val="00C76E5F"/>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CF7606"/>
    <w:rsid w:val="00D02494"/>
    <w:rsid w:val="00D04B22"/>
    <w:rsid w:val="00D106ED"/>
    <w:rsid w:val="00D11693"/>
    <w:rsid w:val="00D11C00"/>
    <w:rsid w:val="00D11D29"/>
    <w:rsid w:val="00D1201A"/>
    <w:rsid w:val="00D137C2"/>
    <w:rsid w:val="00D16822"/>
    <w:rsid w:val="00D20F86"/>
    <w:rsid w:val="00D22B5A"/>
    <w:rsid w:val="00D25729"/>
    <w:rsid w:val="00D25D2A"/>
    <w:rsid w:val="00D30A03"/>
    <w:rsid w:val="00D30BBD"/>
    <w:rsid w:val="00D312E2"/>
    <w:rsid w:val="00D31427"/>
    <w:rsid w:val="00D31CEE"/>
    <w:rsid w:val="00D31E8D"/>
    <w:rsid w:val="00D3239A"/>
    <w:rsid w:val="00D33462"/>
    <w:rsid w:val="00D33585"/>
    <w:rsid w:val="00D33F89"/>
    <w:rsid w:val="00D367C2"/>
    <w:rsid w:val="00D4229D"/>
    <w:rsid w:val="00D43FBB"/>
    <w:rsid w:val="00D44073"/>
    <w:rsid w:val="00D441D8"/>
    <w:rsid w:val="00D45A9E"/>
    <w:rsid w:val="00D46EE6"/>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2A72"/>
    <w:rsid w:val="00D962E3"/>
    <w:rsid w:val="00D96888"/>
    <w:rsid w:val="00DA1BC8"/>
    <w:rsid w:val="00DA212E"/>
    <w:rsid w:val="00DA68F4"/>
    <w:rsid w:val="00DA7BF7"/>
    <w:rsid w:val="00DA7CB4"/>
    <w:rsid w:val="00DB0E97"/>
    <w:rsid w:val="00DB15B8"/>
    <w:rsid w:val="00DB2887"/>
    <w:rsid w:val="00DB2C8A"/>
    <w:rsid w:val="00DB2D20"/>
    <w:rsid w:val="00DB5E85"/>
    <w:rsid w:val="00DB63FC"/>
    <w:rsid w:val="00DB6C02"/>
    <w:rsid w:val="00DC0D2A"/>
    <w:rsid w:val="00DC0D9C"/>
    <w:rsid w:val="00DC3428"/>
    <w:rsid w:val="00DC5919"/>
    <w:rsid w:val="00DC61C7"/>
    <w:rsid w:val="00DD161C"/>
    <w:rsid w:val="00DD22C1"/>
    <w:rsid w:val="00DD27B6"/>
    <w:rsid w:val="00DD2DE2"/>
    <w:rsid w:val="00DD42BB"/>
    <w:rsid w:val="00DD569B"/>
    <w:rsid w:val="00DD71F7"/>
    <w:rsid w:val="00DD77BC"/>
    <w:rsid w:val="00DE0138"/>
    <w:rsid w:val="00DE0FB4"/>
    <w:rsid w:val="00DE1181"/>
    <w:rsid w:val="00DE57A2"/>
    <w:rsid w:val="00DE5B3B"/>
    <w:rsid w:val="00DE6664"/>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E8A"/>
    <w:rsid w:val="00E219BB"/>
    <w:rsid w:val="00E22276"/>
    <w:rsid w:val="00E25CE5"/>
    <w:rsid w:val="00E269C9"/>
    <w:rsid w:val="00E2782E"/>
    <w:rsid w:val="00E27B9C"/>
    <w:rsid w:val="00E314AA"/>
    <w:rsid w:val="00E32408"/>
    <w:rsid w:val="00E339E4"/>
    <w:rsid w:val="00E34DFD"/>
    <w:rsid w:val="00E35234"/>
    <w:rsid w:val="00E357E9"/>
    <w:rsid w:val="00E40E49"/>
    <w:rsid w:val="00E41036"/>
    <w:rsid w:val="00E41402"/>
    <w:rsid w:val="00E41597"/>
    <w:rsid w:val="00E41A1C"/>
    <w:rsid w:val="00E4316A"/>
    <w:rsid w:val="00E451D6"/>
    <w:rsid w:val="00E46FA6"/>
    <w:rsid w:val="00E47109"/>
    <w:rsid w:val="00E47F62"/>
    <w:rsid w:val="00E50183"/>
    <w:rsid w:val="00E50813"/>
    <w:rsid w:val="00E50AB8"/>
    <w:rsid w:val="00E50FD4"/>
    <w:rsid w:val="00E53118"/>
    <w:rsid w:val="00E536EC"/>
    <w:rsid w:val="00E5520C"/>
    <w:rsid w:val="00E57154"/>
    <w:rsid w:val="00E60828"/>
    <w:rsid w:val="00E60BD4"/>
    <w:rsid w:val="00E61125"/>
    <w:rsid w:val="00E6238A"/>
    <w:rsid w:val="00E62570"/>
    <w:rsid w:val="00E626CC"/>
    <w:rsid w:val="00E632EC"/>
    <w:rsid w:val="00E63ED9"/>
    <w:rsid w:val="00E64B26"/>
    <w:rsid w:val="00E65FF5"/>
    <w:rsid w:val="00E67D10"/>
    <w:rsid w:val="00E71B99"/>
    <w:rsid w:val="00E736E3"/>
    <w:rsid w:val="00E7414E"/>
    <w:rsid w:val="00E74F6B"/>
    <w:rsid w:val="00E7546A"/>
    <w:rsid w:val="00E770C0"/>
    <w:rsid w:val="00E833D4"/>
    <w:rsid w:val="00E837B7"/>
    <w:rsid w:val="00E87C95"/>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9DE"/>
    <w:rsid w:val="00F00CFA"/>
    <w:rsid w:val="00F04C1E"/>
    <w:rsid w:val="00F0502E"/>
    <w:rsid w:val="00F05844"/>
    <w:rsid w:val="00F05E9F"/>
    <w:rsid w:val="00F06A71"/>
    <w:rsid w:val="00F074F9"/>
    <w:rsid w:val="00F1022B"/>
    <w:rsid w:val="00F11978"/>
    <w:rsid w:val="00F1217E"/>
    <w:rsid w:val="00F14A01"/>
    <w:rsid w:val="00F16091"/>
    <w:rsid w:val="00F1645D"/>
    <w:rsid w:val="00F164DA"/>
    <w:rsid w:val="00F173C0"/>
    <w:rsid w:val="00F23D97"/>
    <w:rsid w:val="00F26EC9"/>
    <w:rsid w:val="00F31401"/>
    <w:rsid w:val="00F340AF"/>
    <w:rsid w:val="00F345BF"/>
    <w:rsid w:val="00F36A35"/>
    <w:rsid w:val="00F377F6"/>
    <w:rsid w:val="00F41C5E"/>
    <w:rsid w:val="00F426A6"/>
    <w:rsid w:val="00F42B06"/>
    <w:rsid w:val="00F432E1"/>
    <w:rsid w:val="00F44F74"/>
    <w:rsid w:val="00F471E3"/>
    <w:rsid w:val="00F50B78"/>
    <w:rsid w:val="00F5174D"/>
    <w:rsid w:val="00F51FD5"/>
    <w:rsid w:val="00F53ABE"/>
    <w:rsid w:val="00F57CDF"/>
    <w:rsid w:val="00F61B3B"/>
    <w:rsid w:val="00F6210A"/>
    <w:rsid w:val="00F64552"/>
    <w:rsid w:val="00F71FA7"/>
    <w:rsid w:val="00F720B6"/>
    <w:rsid w:val="00F74B10"/>
    <w:rsid w:val="00F76354"/>
    <w:rsid w:val="00F836EE"/>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1A58"/>
    <w:rsid w:val="00FA4450"/>
    <w:rsid w:val="00FA46D9"/>
    <w:rsid w:val="00FA6F39"/>
    <w:rsid w:val="00FA72E6"/>
    <w:rsid w:val="00FA7B94"/>
    <w:rsid w:val="00FB1087"/>
    <w:rsid w:val="00FB1615"/>
    <w:rsid w:val="00FB1A53"/>
    <w:rsid w:val="00FB2096"/>
    <w:rsid w:val="00FB2864"/>
    <w:rsid w:val="00FB68E3"/>
    <w:rsid w:val="00FB6C88"/>
    <w:rsid w:val="00FC0BCB"/>
    <w:rsid w:val="00FC1714"/>
    <w:rsid w:val="00FC3B6B"/>
    <w:rsid w:val="00FC40F5"/>
    <w:rsid w:val="00FC6B21"/>
    <w:rsid w:val="00FD008C"/>
    <w:rsid w:val="00FD091F"/>
    <w:rsid w:val="00FD213F"/>
    <w:rsid w:val="00FD2350"/>
    <w:rsid w:val="00FD3543"/>
    <w:rsid w:val="00FD3B56"/>
    <w:rsid w:val="00FD45D7"/>
    <w:rsid w:val="00FD5E4B"/>
    <w:rsid w:val="00FD6231"/>
    <w:rsid w:val="00FD67F1"/>
    <w:rsid w:val="00FE18EE"/>
    <w:rsid w:val="00FE1CD2"/>
    <w:rsid w:val="00FE31C8"/>
    <w:rsid w:val="00FE5B76"/>
    <w:rsid w:val="00FE614B"/>
    <w:rsid w:val="00FE6334"/>
    <w:rsid w:val="00FF0F4C"/>
    <w:rsid w:val="00FF191C"/>
    <w:rsid w:val="00FF26A7"/>
    <w:rsid w:val="00FF3B3A"/>
    <w:rsid w:val="00FF3F94"/>
    <w:rsid w:val="00FF4D4F"/>
    <w:rsid w:val="00FF53F8"/>
    <w:rsid w:val="00FF590F"/>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5683</Characters>
  <Application>Microsoft Office Word</Application>
  <DocSecurity>0</DocSecurity>
  <Lines>47</Lines>
  <Paragraphs>13</Paragraphs>
  <ScaleCrop>false</ScaleCrop>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2025-11-07T00:21:00Z</dcterms:modified>
</cp:coreProperties>
</file>